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49" w:type="dxa"/>
        <w:tblBorders>
          <w:insideH w:val="single" w:sz="4" w:space="0" w:color="auto"/>
          <w:insideV w:val="single" w:sz="4" w:space="0" w:color="auto"/>
        </w:tblBorders>
        <w:tblLayout w:type="fixed"/>
        <w:tblLook w:val="01E0" w:firstRow="1" w:lastRow="1" w:firstColumn="1" w:lastColumn="1" w:noHBand="0" w:noVBand="0"/>
      </w:tblPr>
      <w:tblGrid>
        <w:gridCol w:w="2087"/>
        <w:gridCol w:w="4785"/>
        <w:gridCol w:w="1877"/>
      </w:tblGrid>
      <w:tr w:rsidR="00BC1910" w:rsidTr="003D5AFA">
        <w:tc>
          <w:tcPr>
            <w:tcW w:w="2087" w:type="dxa"/>
            <w:vMerge w:val="restart"/>
            <w:tcBorders>
              <w:right w:val="nil"/>
            </w:tcBorders>
            <w:shd w:val="clear" w:color="auto" w:fill="auto"/>
          </w:tcPr>
          <w:p w:rsidR="00BC1910" w:rsidRDefault="00BC1910" w:rsidP="004B3576">
            <w:pPr>
              <w:pStyle w:val="TLTBodyText"/>
            </w:pPr>
            <w:bookmarkStart w:id="0" w:name="_GoBack"/>
            <w:bookmarkEnd w:id="0"/>
          </w:p>
        </w:tc>
        <w:tc>
          <w:tcPr>
            <w:tcW w:w="4785" w:type="dxa"/>
            <w:tcBorders>
              <w:top w:val="nil"/>
              <w:left w:val="nil"/>
              <w:bottom w:val="nil"/>
              <w:right w:val="nil"/>
            </w:tcBorders>
            <w:shd w:val="clear" w:color="auto" w:fill="auto"/>
          </w:tcPr>
          <w:p w:rsidR="00BC1910" w:rsidRPr="00064768" w:rsidRDefault="00F75BD1" w:rsidP="004B3576">
            <w:pPr>
              <w:pStyle w:val="TLTTitle"/>
            </w:pPr>
            <w:bookmarkStart w:id="1" w:name="bmkDeedName"/>
            <w:r>
              <w:t>Ultimate Holding</w:t>
            </w:r>
            <w:r w:rsidR="00A57710">
              <w:t xml:space="preserve"> Company </w:t>
            </w:r>
            <w:bookmarkEnd w:id="1"/>
            <w:r w:rsidR="00A57710">
              <w:t>Guarantee</w:t>
            </w:r>
          </w:p>
        </w:tc>
        <w:tc>
          <w:tcPr>
            <w:tcW w:w="1877" w:type="dxa"/>
            <w:vMerge w:val="restart"/>
            <w:tcBorders>
              <w:left w:val="nil"/>
            </w:tcBorders>
            <w:shd w:val="clear" w:color="auto" w:fill="auto"/>
          </w:tcPr>
          <w:p w:rsidR="00BC1910" w:rsidRDefault="00BC1910" w:rsidP="004B3576">
            <w:pPr>
              <w:pStyle w:val="TLTBodyText"/>
            </w:pPr>
          </w:p>
        </w:tc>
      </w:tr>
      <w:tr w:rsidR="00BC1910" w:rsidTr="003D5AFA">
        <w:trPr>
          <w:trHeight w:val="635"/>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E137B9" w:rsidP="004B3576">
            <w:pPr>
              <w:pStyle w:val="TLTSubTitle"/>
            </w:pPr>
            <w:bookmarkStart w:id="2" w:name="bmkSecondaryDeedName"/>
            <w:bookmarkEnd w:id="2"/>
            <w:r>
              <w:rPr>
                <w:rFonts w:cs="Arial"/>
              </w:rPr>
              <w:t>Lot [1][2][3]</w:t>
            </w:r>
            <w:r w:rsidR="00464088" w:rsidRPr="003D5AFA">
              <w:rPr>
                <w:rFonts w:cs="Arial"/>
              </w:rPr>
              <w:fldChar w:fldCharType="begin"/>
            </w:r>
            <w:r w:rsidR="00464088" w:rsidRPr="003D5AFA">
              <w:rPr>
                <w:rFonts w:cs="Arial"/>
              </w:rPr>
              <w:instrText xml:space="preserve">  </w:instrText>
            </w:r>
            <w:r w:rsidR="00464088" w:rsidRPr="003D5AFA">
              <w:rPr>
                <w:rFonts w:cs="Arial"/>
              </w:rPr>
              <w:fldChar w:fldCharType="end"/>
            </w:r>
          </w:p>
        </w:tc>
        <w:tc>
          <w:tcPr>
            <w:tcW w:w="1877" w:type="dxa"/>
            <w:vMerge/>
            <w:tcBorders>
              <w:left w:val="nil"/>
            </w:tcBorders>
            <w:shd w:val="clear" w:color="auto" w:fill="auto"/>
          </w:tcPr>
          <w:p w:rsidR="00BC1910" w:rsidRDefault="00BC1910" w:rsidP="00194C71"/>
        </w:tc>
      </w:tr>
      <w:tr w:rsidR="00BC1910" w:rsidTr="003D5AFA">
        <w:trPr>
          <w:trHeight w:val="114"/>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A57710" w:rsidRDefault="00A57710" w:rsidP="002D2EA1">
            <w:pPr>
              <w:pStyle w:val="TLTPartiesFrontSheet"/>
            </w:pPr>
            <w:bookmarkStart w:id="3" w:name="bmkPartiesFront"/>
            <w:r>
              <w:t>[</w:t>
            </w:r>
            <w:r w:rsidR="00511093">
              <w:t>●</w:t>
            </w:r>
            <w:r w:rsidR="00511093">
              <w:fldChar w:fldCharType="begin"/>
            </w:r>
            <w:r w:rsidR="00511093">
              <w:instrText xml:space="preserve">  </w:instrText>
            </w:r>
            <w:r w:rsidR="00511093">
              <w:fldChar w:fldCharType="end"/>
            </w:r>
            <w:r>
              <w:t>Guarantor]</w:t>
            </w:r>
          </w:p>
          <w:bookmarkEnd w:id="3"/>
          <w:p w:rsidR="002D2EA1" w:rsidRDefault="00C93282" w:rsidP="002D2EA1">
            <w:pPr>
              <w:pStyle w:val="TLTPartiesFrontSheet"/>
            </w:pPr>
            <w:r>
              <w:t>The Secretary of State for Work and Pensions</w:t>
            </w:r>
          </w:p>
        </w:tc>
        <w:tc>
          <w:tcPr>
            <w:tcW w:w="1877" w:type="dxa"/>
            <w:vMerge/>
            <w:tcBorders>
              <w:left w:val="nil"/>
            </w:tcBorders>
            <w:shd w:val="clear" w:color="auto" w:fill="auto"/>
          </w:tcPr>
          <w:p w:rsidR="00BC1910" w:rsidRDefault="00BC1910" w:rsidP="00194C71"/>
        </w:tc>
      </w:tr>
      <w:tr w:rsidR="002D2EA1" w:rsidTr="003D5AFA">
        <w:trPr>
          <w:trHeight w:val="70"/>
        </w:trPr>
        <w:tc>
          <w:tcPr>
            <w:tcW w:w="2087" w:type="dxa"/>
            <w:vMerge/>
            <w:tcBorders>
              <w:right w:val="nil"/>
            </w:tcBorders>
            <w:shd w:val="clear" w:color="auto" w:fill="auto"/>
          </w:tcPr>
          <w:p w:rsidR="002D2EA1" w:rsidRDefault="002D2EA1" w:rsidP="00194C71"/>
        </w:tc>
        <w:tc>
          <w:tcPr>
            <w:tcW w:w="4785" w:type="dxa"/>
            <w:tcBorders>
              <w:top w:val="nil"/>
              <w:left w:val="nil"/>
              <w:bottom w:val="nil"/>
              <w:right w:val="nil"/>
            </w:tcBorders>
            <w:shd w:val="clear" w:color="auto" w:fill="auto"/>
            <w:vAlign w:val="center"/>
          </w:tcPr>
          <w:p w:rsidR="002D2EA1" w:rsidRPr="003D5AFA" w:rsidRDefault="002D2EA1" w:rsidP="00A70F68">
            <w:pPr>
              <w:pStyle w:val="TLTCoverDetails"/>
              <w:rPr>
                <w:sz w:val="16"/>
                <w:szCs w:val="16"/>
              </w:rPr>
            </w:pPr>
            <w:r>
              <w:t>Dated</w:t>
            </w:r>
            <w:r>
              <w:tab/>
              <w:t>20</w:t>
            </w:r>
          </w:p>
        </w:tc>
        <w:tc>
          <w:tcPr>
            <w:tcW w:w="1877" w:type="dxa"/>
            <w:vMerge/>
            <w:tcBorders>
              <w:left w:val="nil"/>
            </w:tcBorders>
            <w:shd w:val="clear" w:color="auto" w:fill="auto"/>
          </w:tcPr>
          <w:p w:rsidR="002D2EA1" w:rsidRDefault="002D2EA1" w:rsidP="00194C71"/>
        </w:tc>
      </w:tr>
      <w:tr w:rsidR="00BC1910" w:rsidTr="003D5AFA">
        <w:trPr>
          <w:trHeight w:val="146"/>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BC1910" w:rsidP="00A70F68">
            <w:pPr>
              <w:pStyle w:val="TLTCoverDetails"/>
            </w:pPr>
            <w:bookmarkStart w:id="4" w:name="bmkStart"/>
            <w:bookmarkEnd w:id="4"/>
          </w:p>
        </w:tc>
        <w:tc>
          <w:tcPr>
            <w:tcW w:w="1877" w:type="dxa"/>
            <w:vMerge/>
            <w:tcBorders>
              <w:left w:val="nil"/>
            </w:tcBorders>
            <w:shd w:val="clear" w:color="auto" w:fill="auto"/>
          </w:tcPr>
          <w:p w:rsidR="00BC1910" w:rsidRDefault="00BC1910" w:rsidP="00194C71"/>
        </w:tc>
      </w:tr>
    </w:tbl>
    <w:p w:rsidR="004A185D" w:rsidRDefault="004A185D" w:rsidP="00194C71"/>
    <w:p w:rsidR="00A70F68" w:rsidRDefault="00A70F68" w:rsidP="00194C71">
      <w:pPr>
        <w:sectPr w:rsidR="00A70F68" w:rsidSect="005112DA">
          <w:headerReference w:type="even" r:id="rId8"/>
          <w:headerReference w:type="default" r:id="rId9"/>
          <w:footerReference w:type="even" r:id="rId10"/>
          <w:footerReference w:type="default" r:id="rId11"/>
          <w:headerReference w:type="first" r:id="rId12"/>
          <w:footerReference w:type="first" r:id="rId13"/>
          <w:pgSz w:w="11906" w:h="16838" w:code="9"/>
          <w:pgMar w:top="4820" w:right="1588" w:bottom="2160" w:left="1843" w:header="567" w:footer="431" w:gutter="0"/>
          <w:paperSrc w:first="265" w:other="265"/>
          <w:cols w:space="708"/>
          <w:titlePg/>
          <w:docGrid w:linePitch="360"/>
        </w:sectPr>
      </w:pPr>
    </w:p>
    <w:p w:rsidR="009E404C" w:rsidRDefault="009E404C" w:rsidP="007C6AAE">
      <w:pPr>
        <w:pStyle w:val="TLTBodyText"/>
        <w:tabs>
          <w:tab w:val="left" w:pos="4298"/>
          <w:tab w:val="left" w:pos="7201"/>
        </w:tabs>
      </w:pPr>
      <w:r w:rsidRPr="009E404C">
        <w:rPr>
          <w:rStyle w:val="TLTBodyTextBoldChar"/>
        </w:rPr>
        <w:lastRenderedPageBreak/>
        <w:t>This deed</w:t>
      </w:r>
      <w:r w:rsidR="007C6AAE">
        <w:t xml:space="preserve"> is made the</w:t>
      </w:r>
      <w:r w:rsidR="007C6AAE">
        <w:tab/>
      </w:r>
      <w:r>
        <w:t>day of</w:t>
      </w:r>
      <w:r w:rsidR="007C6AAE">
        <w:tab/>
      </w:r>
      <w:r>
        <w:t>20</w:t>
      </w:r>
    </w:p>
    <w:p w:rsidR="009E404C" w:rsidRPr="00267EE5" w:rsidRDefault="009E404C" w:rsidP="00267EE5">
      <w:pPr>
        <w:pStyle w:val="TLTBodyText"/>
      </w:pPr>
      <w:r w:rsidRPr="009E404C">
        <w:rPr>
          <w:rStyle w:val="TLTBodyTextBoldChar"/>
        </w:rPr>
        <w:t>Between</w:t>
      </w:r>
      <w:r w:rsidRPr="00267EE5">
        <w:rPr>
          <w:rStyle w:val="TLTBodyTextBoldChar"/>
        </w:rPr>
        <w:t>:</w:t>
      </w:r>
    </w:p>
    <w:p w:rsidR="00A57710" w:rsidRPr="00A57710" w:rsidRDefault="00A57710" w:rsidP="00095D59">
      <w:pPr>
        <w:pStyle w:val="TLTPartiesBodyText"/>
      </w:pPr>
      <w:bookmarkStart w:id="7" w:name="bmkPartiesBody"/>
      <w:r w:rsidRPr="00A57710">
        <w:rPr>
          <w:rStyle w:val="TLTBodyTextBoldChar"/>
        </w:rPr>
        <w:t>[</w:t>
      </w:r>
      <w:r w:rsidR="00511093">
        <w:t>●</w:t>
      </w:r>
      <w:r w:rsidR="00511093">
        <w:fldChar w:fldCharType="begin"/>
      </w:r>
      <w:r w:rsidR="00511093">
        <w:instrText xml:space="preserve">  </w:instrText>
      </w:r>
      <w:r w:rsidR="00511093">
        <w:fldChar w:fldCharType="end"/>
      </w:r>
      <w:r w:rsidRPr="00A57710">
        <w:rPr>
          <w:rStyle w:val="TLTBodyTextBoldChar"/>
        </w:rPr>
        <w:t>Guarantor]</w:t>
      </w:r>
      <w:r w:rsidRPr="00A57710">
        <w:t xml:space="preserve"> </w:t>
      </w:r>
      <w:r w:rsidR="002963EE">
        <w:t xml:space="preserve">whose registered </w:t>
      </w:r>
      <w:r w:rsidR="00511093">
        <w:t>office is situated at [●</w:t>
      </w:r>
      <w:r w:rsidR="00511093">
        <w:fldChar w:fldCharType="begin"/>
      </w:r>
      <w:r w:rsidR="00511093">
        <w:instrText xml:space="preserve">  </w:instrText>
      </w:r>
      <w:r w:rsidR="00511093">
        <w:fldChar w:fldCharType="end"/>
      </w:r>
      <w:r w:rsidR="002963EE">
        <w:t xml:space="preserve">] (the </w:t>
      </w:r>
      <w:r w:rsidR="002963EE" w:rsidRPr="00D570DC">
        <w:rPr>
          <w:rStyle w:val="TLTBodyTextBoldChar"/>
        </w:rPr>
        <w:t>Guarantor</w:t>
      </w:r>
      <w:r w:rsidR="002963EE">
        <w:t xml:space="preserve">) of the one part; and </w:t>
      </w:r>
      <w:r w:rsidRPr="00A57710">
        <w:fldChar w:fldCharType="begin"/>
      </w:r>
      <w:r w:rsidRPr="00A57710">
        <w:instrText xml:space="preserve">  \* MERGEFORMAT </w:instrText>
      </w:r>
      <w:r w:rsidRPr="00A57710">
        <w:fldChar w:fldCharType="end"/>
      </w:r>
    </w:p>
    <w:bookmarkEnd w:id="7"/>
    <w:p w:rsidR="00A104D3" w:rsidRDefault="00C93282" w:rsidP="00095D59">
      <w:pPr>
        <w:pStyle w:val="TLTPartiesBodyText"/>
      </w:pPr>
      <w:r>
        <w:rPr>
          <w:rStyle w:val="TLTBodyTextBoldChar"/>
        </w:rPr>
        <w:t xml:space="preserve">The Secretary of State for Work and Pensions </w:t>
      </w:r>
      <w:r w:rsidRPr="00C93282">
        <w:rPr>
          <w:rStyle w:val="TLTBodyTextBoldChar"/>
          <w:b w:val="0"/>
        </w:rPr>
        <w:t>of</w:t>
      </w:r>
      <w:r w:rsidR="002963EE" w:rsidRPr="00C93282">
        <w:rPr>
          <w:b/>
        </w:rPr>
        <w:t xml:space="preserve"> </w:t>
      </w:r>
      <w:r>
        <w:t xml:space="preserve">Craxton House, Tothill Street, London, SW1H 9NA acting as part of the Crown </w:t>
      </w:r>
      <w:r w:rsidR="002963EE">
        <w:t xml:space="preserve">(the </w:t>
      </w:r>
      <w:r w:rsidR="00F75BD1">
        <w:rPr>
          <w:rStyle w:val="TLTBodyTextBoldChar"/>
        </w:rPr>
        <w:t>Client</w:t>
      </w:r>
      <w:r w:rsidR="002963EE">
        <w:t>) of the other part.</w:t>
      </w:r>
    </w:p>
    <w:p w:rsidR="009E404C" w:rsidRPr="00267EE5" w:rsidRDefault="009E404C" w:rsidP="00267EE5">
      <w:pPr>
        <w:pStyle w:val="TLTBodyText"/>
      </w:pPr>
      <w:r w:rsidRPr="009E404C">
        <w:rPr>
          <w:rStyle w:val="TLTBodyTextBoldChar"/>
        </w:rPr>
        <w:t>Background</w:t>
      </w:r>
      <w:r w:rsidRPr="00267EE5">
        <w:rPr>
          <w:rStyle w:val="TLTBodyTextBoldChar"/>
        </w:rPr>
        <w:t>:</w:t>
      </w:r>
    </w:p>
    <w:p w:rsidR="009E404C" w:rsidRDefault="00AC2FBC" w:rsidP="007C6AAE">
      <w:pPr>
        <w:pStyle w:val="TLTRecitals"/>
      </w:pPr>
      <w:r>
        <w:fldChar w:fldCharType="begin"/>
      </w:r>
      <w:r>
        <w:instrText xml:space="preserve">  </w:instrText>
      </w:r>
      <w:r>
        <w:fldChar w:fldCharType="end"/>
      </w:r>
      <w:r w:rsidR="006C3D21">
        <w:t xml:space="preserve">The </w:t>
      </w:r>
      <w:r w:rsidR="00F75BD1">
        <w:t>Client</w:t>
      </w:r>
      <w:r w:rsidR="006C3D21">
        <w:t xml:space="preserve"> has entered into a contrac</w:t>
      </w:r>
      <w:r w:rsidR="00D53E5A">
        <w:t>t dated [●</w:t>
      </w:r>
      <w:r w:rsidR="00D53E5A">
        <w:fldChar w:fldCharType="begin"/>
      </w:r>
      <w:r w:rsidR="00D53E5A">
        <w:instrText xml:space="preserve">  </w:instrText>
      </w:r>
      <w:r w:rsidR="00D53E5A">
        <w:fldChar w:fldCharType="end"/>
      </w:r>
      <w:r w:rsidR="00D53E5A">
        <w:t>] (Contract) with [●</w:t>
      </w:r>
      <w:r w:rsidR="00D53E5A">
        <w:fldChar w:fldCharType="begin"/>
      </w:r>
      <w:r w:rsidR="00D53E5A">
        <w:instrText xml:space="preserve">  </w:instrText>
      </w:r>
      <w:r w:rsidR="00D53E5A">
        <w:fldChar w:fldCharType="end"/>
      </w:r>
      <w:r w:rsidR="006C3D21">
        <w:t>] (</w:t>
      </w:r>
      <w:r w:rsidR="006C3D21" w:rsidRPr="00D570DC">
        <w:rPr>
          <w:rStyle w:val="TLTBodyTextBoldChar"/>
        </w:rPr>
        <w:t>Contractor</w:t>
      </w:r>
      <w:r w:rsidR="006C3D21">
        <w:t xml:space="preserve">) to carry out and complete certain works as described in the Contract (the </w:t>
      </w:r>
      <w:r w:rsidR="006C3D21" w:rsidRPr="00D570DC">
        <w:rPr>
          <w:rStyle w:val="TLTBodyTextBoldChar"/>
        </w:rPr>
        <w:t>Works</w:t>
      </w:r>
      <w:r w:rsidR="006C3D21">
        <w:t>).</w:t>
      </w:r>
    </w:p>
    <w:p w:rsidR="009E404C" w:rsidRDefault="00AC2FBC" w:rsidP="007C6AAE">
      <w:pPr>
        <w:pStyle w:val="TLTRecitals"/>
      </w:pPr>
      <w:r>
        <w:fldChar w:fldCharType="begin"/>
      </w:r>
      <w:r>
        <w:instrText xml:space="preserve">  </w:instrText>
      </w:r>
      <w:r>
        <w:fldChar w:fldCharType="end"/>
      </w:r>
      <w:r w:rsidR="006C3D21">
        <w:t xml:space="preserve">The Guarantor as the </w:t>
      </w:r>
      <w:r w:rsidR="00F75BD1">
        <w:t>ultimate holding company</w:t>
      </w:r>
      <w:r w:rsidR="006C3D21">
        <w:t xml:space="preserve"> of the Contractor guarantees inter alia the due performance of all obligations by the Contractor under or in connection with the Contract in the terms of this Deed.</w:t>
      </w:r>
    </w:p>
    <w:p w:rsidR="008F302C" w:rsidRDefault="008F302C" w:rsidP="008F302C">
      <w:pPr>
        <w:pStyle w:val="TLTBodyText"/>
      </w:pPr>
      <w:r w:rsidRPr="008F302C">
        <w:rPr>
          <w:rStyle w:val="TLTBodyTextBoldChar"/>
        </w:rPr>
        <w:t>It is agreed</w:t>
      </w:r>
      <w:r>
        <w:t xml:space="preserve"> as follows:</w:t>
      </w:r>
    </w:p>
    <w:p w:rsidR="008F302C" w:rsidRDefault="008F302C" w:rsidP="008F302C">
      <w:pPr>
        <w:pStyle w:val="TLTLevel1"/>
      </w:pPr>
      <w:bookmarkStart w:id="8" w:name="_Toc408581977"/>
      <w:r>
        <w:t>The Guarantor irrevocably and unconditionally:</w:t>
      </w:r>
      <w:bookmarkEnd w:id="8"/>
    </w:p>
    <w:p w:rsidR="008F302C" w:rsidRDefault="008F302C" w:rsidP="008F302C">
      <w:pPr>
        <w:pStyle w:val="TLTLevel2"/>
      </w:pPr>
      <w:r>
        <w:t xml:space="preserve">guarantees and covenants to the </w:t>
      </w:r>
      <w:r w:rsidR="00F75BD1">
        <w:t>Client</w:t>
      </w:r>
      <w:r>
        <w:t xml:space="preserve"> both as guarantor and principal obligor:</w:t>
      </w:r>
    </w:p>
    <w:p w:rsidR="008F302C" w:rsidRPr="008F302C" w:rsidRDefault="008F302C" w:rsidP="008F302C">
      <w:pPr>
        <w:pStyle w:val="TLTLevel3"/>
      </w:pPr>
      <w:r w:rsidRPr="008F302C">
        <w:t xml:space="preserve">the proper and punctual performance and observance by the Contractor of its obligations, undertakings, duties, covenants, warranties and responsibilities under or in connection with the Contract (together the </w:t>
      </w:r>
      <w:r w:rsidRPr="00D570DC">
        <w:rPr>
          <w:rStyle w:val="TLTBodyTextBoldChar"/>
        </w:rPr>
        <w:t>Obligations</w:t>
      </w:r>
      <w:r w:rsidRPr="008F302C">
        <w:t xml:space="preserve">) and payment and discharge of all liabilities due, owing or incurred or payable and unpaid by the Contractor to the </w:t>
      </w:r>
      <w:r w:rsidR="00F75BD1">
        <w:t>Client</w:t>
      </w:r>
      <w:r w:rsidRPr="008F302C">
        <w:t xml:space="preserve"> pursuant to the Contract as a result of any breach; and </w:t>
      </w:r>
    </w:p>
    <w:p w:rsidR="008F302C" w:rsidRDefault="008F302C" w:rsidP="008F302C">
      <w:pPr>
        <w:pStyle w:val="TLTLevel3"/>
      </w:pPr>
      <w:r w:rsidRPr="008F302C">
        <w:t>that it will within</w:t>
      </w:r>
      <w:r>
        <w:t xml:space="preserve"> five (5) working days of the </w:t>
      </w:r>
      <w:r w:rsidR="00F75BD1">
        <w:t>Client</w:t>
      </w:r>
      <w:r>
        <w:t>'s written demand stating that the Contractor has failed to perform the Obligations proceed or cause to be proceeded with the performance and discharge of the Obligations;</w:t>
      </w:r>
    </w:p>
    <w:p w:rsidR="008F302C" w:rsidRDefault="008F302C" w:rsidP="008F302C">
      <w:pPr>
        <w:pStyle w:val="TLTLevel2"/>
      </w:pPr>
      <w:r>
        <w:t xml:space="preserve">undertakes as a separate and primary obligor to indemnify and keep indemnified the </w:t>
      </w:r>
      <w:r w:rsidR="00F75BD1">
        <w:t>Client</w:t>
      </w:r>
      <w:r>
        <w:t xml:space="preserve">, on demand from and against all sums, liabilities, awards, losses, damages, costs, charges, interest and expenses (including any legal expenses and disbursements plus VAT) suffered or incurred or may suffer or incur by the </w:t>
      </w:r>
      <w:r w:rsidR="00F75BD1">
        <w:t>Client</w:t>
      </w:r>
      <w:r>
        <w:t xml:space="preserve"> under or arising out of the Contract in accordance with its terms or for which the Contractor is otherwise liable to the </w:t>
      </w:r>
      <w:r w:rsidR="00F75BD1">
        <w:t>Client</w:t>
      </w:r>
      <w:r>
        <w:t xml:space="preserve"> by reason or in consequence of any failure to perform or observe the Obligations; </w:t>
      </w:r>
    </w:p>
    <w:p w:rsidR="008F302C" w:rsidRDefault="008F302C" w:rsidP="008F302C">
      <w:pPr>
        <w:pStyle w:val="TLTBodyText2"/>
      </w:pPr>
      <w:r>
        <w:t>provided that the Guarantor's liability and obligation under this Deed shall be no greater than those of the Contractor under the Contract (except in relation to any costs incurred in enforcing this Deed) such liability and obligation to be determined on the assu</w:t>
      </w:r>
      <w:r w:rsidR="00C93282">
        <w:t>mption that the Contract is not</w:t>
      </w:r>
      <w:r>
        <w:t xml:space="preserve"> void, voidable, unenforceable or ineffective against the </w:t>
      </w:r>
      <w:r w:rsidR="00F75BD1">
        <w:t>Client</w:t>
      </w:r>
      <w:r>
        <w:t>.</w:t>
      </w:r>
    </w:p>
    <w:p w:rsidR="008F302C" w:rsidRDefault="008F302C" w:rsidP="008F302C">
      <w:pPr>
        <w:pStyle w:val="TLTLevel1"/>
      </w:pPr>
      <w:bookmarkStart w:id="9" w:name="_Toc408581978"/>
      <w:r>
        <w:t xml:space="preserve">Any demand for payment of a liability under this Deed may be made by the </w:t>
      </w:r>
      <w:r w:rsidR="00F75BD1">
        <w:t>Client</w:t>
      </w:r>
      <w:r>
        <w:t xml:space="preserve"> and the Guarantor shall pay and discharge such liability (without any set off, lien or counterclaim, deduction or withholding howsoever arising, except for those required by law) within five (5) working days of service of such demand by payment to such account as stated in the </w:t>
      </w:r>
      <w:r w:rsidR="00F75BD1">
        <w:t>Client</w:t>
      </w:r>
      <w:r>
        <w:t>'s demand notice.</w:t>
      </w:r>
      <w:bookmarkEnd w:id="9"/>
      <w:r>
        <w:t xml:space="preserve"> </w:t>
      </w:r>
    </w:p>
    <w:p w:rsidR="008F302C" w:rsidRDefault="008F302C" w:rsidP="008F302C">
      <w:pPr>
        <w:pStyle w:val="TLTLevel1"/>
      </w:pPr>
      <w:bookmarkStart w:id="10" w:name="_Toc408581979"/>
      <w:r>
        <w:t>Any notice given to the Guarantor under this Deed shall be in writing and shall be delivered personally or sent by recorded delivery to the registered office of the Guarantor and such notice shall be deemed to have been delivered and received at the actual time of delivery if delivered personally or at the time of receipt if sent by recorded delivery.</w:t>
      </w:r>
      <w:bookmarkEnd w:id="10"/>
    </w:p>
    <w:p w:rsidR="008F302C" w:rsidRDefault="008F302C" w:rsidP="008F302C">
      <w:pPr>
        <w:pStyle w:val="TLTLevel1"/>
      </w:pPr>
      <w:bookmarkStart w:id="11" w:name="_Toc408581980"/>
      <w:r>
        <w:lastRenderedPageBreak/>
        <w:t>The obligations of the Guarantor under this Deed shall not be impaired, discharged or released or otherwise affected by:</w:t>
      </w:r>
      <w:bookmarkEnd w:id="11"/>
      <w:r>
        <w:t xml:space="preserve"> </w:t>
      </w:r>
    </w:p>
    <w:p w:rsidR="008F302C" w:rsidRDefault="008F302C" w:rsidP="008F302C">
      <w:pPr>
        <w:pStyle w:val="TLTLevel2"/>
      </w:pPr>
      <w:r>
        <w:t xml:space="preserve">any time, waiver or indulgence granted to the Contractor or any other person; </w:t>
      </w:r>
    </w:p>
    <w:p w:rsidR="008F302C" w:rsidRDefault="008F302C" w:rsidP="008F302C">
      <w:pPr>
        <w:pStyle w:val="TLTLevel2"/>
      </w:pPr>
      <w:r>
        <w:t>any termination of, variation of or supplement or amendment to the Contract;</w:t>
      </w:r>
    </w:p>
    <w:p w:rsidR="008F302C" w:rsidRDefault="008F302C" w:rsidP="008F302C">
      <w:pPr>
        <w:pStyle w:val="TLTLevel2"/>
      </w:pPr>
      <w:r>
        <w:t xml:space="preserve">any composition or arrangement made by the </w:t>
      </w:r>
      <w:r w:rsidR="00F75BD1">
        <w:t>Client</w:t>
      </w:r>
      <w:r>
        <w:t xml:space="preserve"> with the Contractor or any other person; or</w:t>
      </w:r>
    </w:p>
    <w:p w:rsidR="008F302C" w:rsidRDefault="008F302C" w:rsidP="008F302C">
      <w:pPr>
        <w:pStyle w:val="TLTLevel2"/>
      </w:pPr>
      <w:r>
        <w:t>any variation or release of, or the failure or neglect to perfect or enforce, any right, remedy or security from the Contractor or any other person;</w:t>
      </w:r>
    </w:p>
    <w:p w:rsidR="008F302C" w:rsidRDefault="008F302C" w:rsidP="007A57A5">
      <w:pPr>
        <w:pStyle w:val="TLTLevel2"/>
      </w:pPr>
      <w:r>
        <w:t>any act, omission, matter or thing whatsoever whereby the Guarantor as guarantor only would or might have been released (in whole or in part) or which would or might have afforded the Guarantor any legal or equitable defence;</w:t>
      </w:r>
    </w:p>
    <w:p w:rsidR="008F302C" w:rsidRDefault="008F302C" w:rsidP="007A57A5">
      <w:pPr>
        <w:pStyle w:val="TLTLevel2"/>
      </w:pPr>
      <w:r>
        <w:t xml:space="preserve">the Contractor ceasing to exist or the receivership, liquidation, insolvency, administration, reorganisation, dissolution, amalgamation, reconstruction or any analogous matter relating to the Contractor or the Contract or any of the liabilities of the Contractor under the Contract being disclaimed or any change in constitution or loss of corporate identity by the Contractor, the Guarantor or the </w:t>
      </w:r>
      <w:r w:rsidR="00F75BD1">
        <w:t>Client</w:t>
      </w:r>
      <w:r>
        <w:t>;</w:t>
      </w:r>
    </w:p>
    <w:p w:rsidR="008F302C" w:rsidRDefault="008F302C" w:rsidP="007A57A5">
      <w:pPr>
        <w:pStyle w:val="TLTLevel2"/>
      </w:pPr>
      <w:r>
        <w:t>the giving of any consent to assignment, transfer or novation or the making of any assignment, transfer or novation of the Contract (or any part thereof);</w:t>
      </w:r>
    </w:p>
    <w:p w:rsidR="008F302C" w:rsidRDefault="008F302C" w:rsidP="007A57A5">
      <w:pPr>
        <w:pStyle w:val="TLTLevel2"/>
      </w:pPr>
      <w:r>
        <w:t xml:space="preserve">any legal limitation, disability, irregularity, defect or informality or any fact or circumstance on the part of or in relation to the Contractor (whether known to the </w:t>
      </w:r>
      <w:r w:rsidR="00F75BD1">
        <w:t>Client</w:t>
      </w:r>
      <w:r>
        <w:t xml:space="preserve"> or not) which would or might render any sum of money irrecoverable from the Contractor or any third party or all or any of the obligations, undertakings, duties, covenants, warranties and responsibilities under or in connection with the Contract unenforceable or any want of power or capacity of or by or on the part of the </w:t>
      </w:r>
      <w:r w:rsidR="00F75BD1">
        <w:t>Client</w:t>
      </w:r>
      <w:r>
        <w:t xml:space="preserve"> or want of authority of any director, manager, officer or other person appearing to be acting for the Contractor;</w:t>
      </w:r>
    </w:p>
    <w:p w:rsidR="008F302C" w:rsidRDefault="008F302C" w:rsidP="007A57A5">
      <w:pPr>
        <w:pStyle w:val="TLTLevel2"/>
      </w:pPr>
      <w:r>
        <w:t>any other act, neglect, event, limitation or omission which would or might but for this provision operate to impair, discharge or modify the Guarantor's liability</w:t>
      </w:r>
      <w:r w:rsidR="00C93282">
        <w:t xml:space="preserve"> hereunder in whole or in part and, </w:t>
      </w:r>
      <w:r>
        <w:t>notwithstanding all or any such matters the Obligations shall be and remain enforceable against the Guarantor as principal obligor.</w:t>
      </w:r>
    </w:p>
    <w:p w:rsidR="008F302C" w:rsidRDefault="008F302C" w:rsidP="007A57A5">
      <w:pPr>
        <w:pStyle w:val="TLTLevel1"/>
      </w:pPr>
      <w:bookmarkStart w:id="12" w:name="_Toc408581981"/>
      <w:r>
        <w:t>From the date or dates upon which any claim is properly made against the Guarantor under this Deed until the amount so claimed is paid under the Contract, the Guarantor shall not:</w:t>
      </w:r>
      <w:bookmarkEnd w:id="12"/>
    </w:p>
    <w:p w:rsidR="008F302C" w:rsidRDefault="008F302C" w:rsidP="007A57A5">
      <w:pPr>
        <w:pStyle w:val="TLTLevel2"/>
      </w:pPr>
      <w:r>
        <w:t>exercise any right of contribution, set-off, counterclaim or indemnity between the Guarantor and the Contractor or exercise any other rights or legal remedies, including claiming or recovering by the institution of proceedings or the threat of proceedings or otherwise against the Contractor, any such sum from the Contractor;</w:t>
      </w:r>
    </w:p>
    <w:p w:rsidR="008F302C" w:rsidRDefault="008F302C" w:rsidP="007A57A5">
      <w:pPr>
        <w:pStyle w:val="TLTLevel2"/>
      </w:pPr>
      <w:r>
        <w:t xml:space="preserve">claim or prove as creditor or otherwise in competition with the </w:t>
      </w:r>
      <w:r w:rsidR="00F75BD1">
        <w:t>Client</w:t>
      </w:r>
      <w:r>
        <w:t xml:space="preserve"> in respect of any money owing to it by the Contractor for or on account of the Guarantor's liability under this Deed, in the event of any bankruptcy, liquidation or other insolvency proceedings relating to the Contractor.</w:t>
      </w:r>
    </w:p>
    <w:p w:rsidR="008F302C" w:rsidRDefault="008F302C" w:rsidP="007A57A5">
      <w:pPr>
        <w:pStyle w:val="TLTLevel1"/>
      </w:pPr>
      <w:bookmarkStart w:id="13" w:name="_Toc408581982"/>
      <w:r>
        <w:t>Any notice given to the Guarantor under this Deed shall be in writing and shall be delivered personally or sent by recorded delivery to the registered office of the Guarantor and such notice shall be deemed to have been delivered and received at the actual time of delivery if delivered personally or at the time of receipt if sent by recorded delivery.</w:t>
      </w:r>
      <w:bookmarkEnd w:id="13"/>
    </w:p>
    <w:p w:rsidR="008F302C" w:rsidRDefault="008F302C" w:rsidP="007A57A5">
      <w:pPr>
        <w:pStyle w:val="TLTLevel1"/>
      </w:pPr>
      <w:bookmarkStart w:id="14" w:name="_Toc408581983"/>
      <w:r>
        <w:t xml:space="preserve">The liability and obligation of the Guarantor under this Deed shall be a continuing guarantee and indemnity and shall cease (other than in respect of claims in respect of </w:t>
      </w:r>
      <w:r>
        <w:lastRenderedPageBreak/>
        <w:t xml:space="preserve">which legal proceedings whether in court, arbitration or other tribunal have already been commenced by the </w:t>
      </w:r>
      <w:r w:rsidR="00F75BD1">
        <w:t>Client</w:t>
      </w:r>
      <w:r>
        <w:t xml:space="preserve"> against the Guarantor) upon the expiration of 12 years from the date of Practical Completion (as defined under the Contract) after which this Deed will be of no further effect.</w:t>
      </w:r>
      <w:bookmarkEnd w:id="14"/>
    </w:p>
    <w:p w:rsidR="008F302C" w:rsidRDefault="008F302C" w:rsidP="007A57A5">
      <w:pPr>
        <w:pStyle w:val="TLTLevel1"/>
      </w:pPr>
      <w:bookmarkStart w:id="15" w:name="_Toc408581984"/>
      <w:r>
        <w:t xml:space="preserve">The Guarantor shall be bound by all court judgments or arbitration awards or decisions of any other tribunal relating to the Contract or any dispute or matter between the </w:t>
      </w:r>
      <w:r w:rsidR="00F75BD1">
        <w:t>Client</w:t>
      </w:r>
      <w:r>
        <w:t xml:space="preserve"> and the Contractor in connection with the Contract.</w:t>
      </w:r>
      <w:bookmarkEnd w:id="15"/>
    </w:p>
    <w:p w:rsidR="008F302C" w:rsidRDefault="008F302C" w:rsidP="007A57A5">
      <w:pPr>
        <w:pStyle w:val="TLTLevel1"/>
      </w:pPr>
      <w:bookmarkStart w:id="16" w:name="_Toc408581985"/>
      <w:r>
        <w:t>Nothing in this Deed confers or purports to confer on any third party any benefit or any right to enforce any term of this Deed which that third party would not have had but for the Contracts (Rights of Third Parties) Act 1999.</w:t>
      </w:r>
      <w:bookmarkEnd w:id="16"/>
    </w:p>
    <w:p w:rsidR="008F302C" w:rsidRDefault="008F302C" w:rsidP="007A57A5">
      <w:pPr>
        <w:pStyle w:val="TLTLevel1"/>
      </w:pPr>
      <w:bookmarkStart w:id="17" w:name="_Toc408581986"/>
      <w:r>
        <w:t xml:space="preserve">The </w:t>
      </w:r>
      <w:r w:rsidR="00F75BD1">
        <w:t>Client</w:t>
      </w:r>
      <w:r>
        <w:t xml:space="preserve"> shall be entitled to assign or transfer the benefit of this Deed at any time to any person without the consent of the Guarantor and any such assignment or transfer shall not release the Guarantor from its liability under this Deed.</w:t>
      </w:r>
      <w:bookmarkEnd w:id="17"/>
    </w:p>
    <w:p w:rsidR="008F302C" w:rsidRDefault="008F302C" w:rsidP="007A57A5">
      <w:pPr>
        <w:pStyle w:val="TLTLevel1"/>
      </w:pPr>
      <w:bookmarkStart w:id="18" w:name="_Toc408581987"/>
      <w:r>
        <w:t xml:space="preserve">This Deed shall in all respects be construed or interpreted in accordance with Law of England and </w:t>
      </w:r>
      <w:smartTag w:uri="urn:schemas-microsoft-com:office:smarttags" w:element="country-region">
        <w:smartTag w:uri="urn:schemas-microsoft-com:office:smarttags" w:element="place">
          <w:r>
            <w:t>Wales</w:t>
          </w:r>
        </w:smartTag>
      </w:smartTag>
      <w:r>
        <w:t xml:space="preserve"> and the Guarantor and the </w:t>
      </w:r>
      <w:r w:rsidR="00F75BD1">
        <w:t>Client</w:t>
      </w:r>
      <w:r>
        <w:t xml:space="preserve"> irrevocably submit to the jurisdiction of the English Courts.</w:t>
      </w:r>
      <w:bookmarkEnd w:id="18"/>
    </w:p>
    <w:p w:rsidR="006C3D21" w:rsidRDefault="008F302C" w:rsidP="008F302C">
      <w:pPr>
        <w:pStyle w:val="TLTBodyText"/>
      </w:pPr>
      <w:r w:rsidRPr="008F302C">
        <w:rPr>
          <w:rStyle w:val="TLTBodyTextBoldChar"/>
        </w:rPr>
        <w:t>In witness</w:t>
      </w:r>
      <w:r>
        <w:t xml:space="preserve"> whereof this Deed has been executed delivered on the date of this document.</w:t>
      </w:r>
    </w:p>
    <w:p w:rsidR="00CD7ABC" w:rsidRDefault="00CD7ABC" w:rsidP="008F302C">
      <w:pPr>
        <w:pStyle w:val="TLTBodyText"/>
        <w:sectPr w:rsidR="00CD7ABC" w:rsidSect="005112DA">
          <w:headerReference w:type="default" r:id="rId14"/>
          <w:headerReference w:type="first" r:id="rId15"/>
          <w:footerReference w:type="first" r:id="rId16"/>
          <w:pgSz w:w="11906" w:h="16838" w:code="9"/>
          <w:pgMar w:top="1440" w:right="1588" w:bottom="1440" w:left="1843" w:header="567" w:footer="431" w:gutter="0"/>
          <w:paperSrc w:first="265" w:other="265"/>
          <w:cols w:space="708"/>
          <w:titlePg/>
          <w:docGrid w:linePitch="360"/>
        </w:sectPr>
      </w:pPr>
    </w:p>
    <w:tbl>
      <w:tblPr>
        <w:tblW w:w="0" w:type="auto"/>
        <w:tblLook w:val="01E0" w:firstRow="1" w:lastRow="1" w:firstColumn="1" w:lastColumn="1" w:noHBand="0" w:noVBand="0"/>
      </w:tblPr>
      <w:tblGrid>
        <w:gridCol w:w="4331"/>
        <w:gridCol w:w="4332"/>
      </w:tblGrid>
      <w:tr w:rsidR="006E28BE" w:rsidTr="003D5AFA">
        <w:tc>
          <w:tcPr>
            <w:tcW w:w="4331" w:type="dxa"/>
            <w:shd w:val="clear" w:color="auto" w:fill="auto"/>
          </w:tcPr>
          <w:p w:rsidR="006E28BE" w:rsidRDefault="00485B79" w:rsidP="003D5AFA">
            <w:pPr>
              <w:pStyle w:val="TLTBodyText"/>
              <w:tabs>
                <w:tab w:val="left" w:pos="3945"/>
              </w:tabs>
            </w:pPr>
            <w:r w:rsidRPr="003C0D7E">
              <w:rPr>
                <w:rStyle w:val="TLTBodyTextBoldChar"/>
              </w:rPr>
              <w:lastRenderedPageBreak/>
              <w:t>Executed</w:t>
            </w:r>
            <w:r w:rsidR="006E28BE" w:rsidRPr="003C0D7E">
              <w:rPr>
                <w:rStyle w:val="TLTBodyTextBoldChar"/>
              </w:rPr>
              <w:t xml:space="preserve"> as a deed</w:t>
            </w:r>
            <w:r w:rsidR="006E28BE">
              <w:t xml:space="preserve"> by </w:t>
            </w:r>
            <w:r w:rsidR="006E28B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6E28BE" w:rsidRPr="00862CCB">
              <w:rPr>
                <w:rStyle w:val="TLTBodyTextBoldChar"/>
              </w:rPr>
              <w:t>●</w:t>
            </w:r>
            <w:r w:rsidR="00DF4DEA">
              <w:rPr>
                <w:rStyle w:val="TLTBodyTextBoldChar"/>
              </w:rPr>
              <w:fldChar w:fldCharType="begin"/>
            </w:r>
            <w:r w:rsidR="00DF4DEA">
              <w:rPr>
                <w:rStyle w:val="TLTBodyTextBoldChar"/>
              </w:rPr>
              <w:instrText xml:space="preserve">  </w:instrText>
            </w:r>
            <w:r w:rsidR="00DF4DEA">
              <w:rPr>
                <w:rStyle w:val="TLTBodyTextBoldChar"/>
              </w:rPr>
              <w:fldChar w:fldCharType="end"/>
            </w:r>
            <w:r w:rsidR="006E28BE" w:rsidRPr="00862CCB">
              <w:rPr>
                <w:rStyle w:val="TLTBodyTextBoldChar"/>
              </w:rPr>
              <w:t>]</w:t>
            </w:r>
            <w:r w:rsidR="001E20E8">
              <w:tab/>
              <w:t>)</w:t>
            </w:r>
            <w:r w:rsidR="001E20E8">
              <w:br/>
              <w:t xml:space="preserve">acting by </w:t>
            </w:r>
            <w:r w:rsidR="001E20E8"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1E20E8" w:rsidRPr="00862CCB">
              <w:rPr>
                <w:rStyle w:val="TLTBodyTextBoldChar"/>
              </w:rPr>
              <w:t>●</w:t>
            </w:r>
            <w:r w:rsidR="00DF4DEA">
              <w:rPr>
                <w:rStyle w:val="TLTBodyTextBoldChar"/>
              </w:rPr>
              <w:fldChar w:fldCharType="begin"/>
            </w:r>
            <w:r w:rsidR="00DF4DEA">
              <w:rPr>
                <w:rStyle w:val="TLTBodyTextBoldChar"/>
              </w:rPr>
              <w:instrText xml:space="preserve">  </w:instrText>
            </w:r>
            <w:r w:rsidR="00DF4DEA">
              <w:rPr>
                <w:rStyle w:val="TLTBodyTextBoldChar"/>
              </w:rPr>
              <w:fldChar w:fldCharType="end"/>
            </w:r>
            <w:r w:rsidR="001E20E8" w:rsidRPr="00862CCB">
              <w:rPr>
                <w:rStyle w:val="TLTBodyTextBoldChar"/>
              </w:rPr>
              <w:t>]</w:t>
            </w:r>
            <w:r w:rsidR="001E20E8">
              <w:t xml:space="preserve"> </w:t>
            </w:r>
            <w:r w:rsidR="00D844BF">
              <w:t>,</w:t>
            </w:r>
            <w:r w:rsidR="001E20E8">
              <w:t>a director</w:t>
            </w:r>
            <w:r w:rsidR="00D844BF">
              <w:t>,</w:t>
            </w:r>
            <w:r w:rsidR="001E20E8">
              <w:tab/>
              <w:t>)</w:t>
            </w:r>
            <w:r w:rsidR="001E20E8">
              <w:br/>
              <w:t>in the presence of</w:t>
            </w:r>
            <w:r w:rsidR="001E20E8">
              <w:tab/>
              <w:t>)</w:t>
            </w:r>
          </w:p>
          <w:p w:rsidR="001E20E8" w:rsidRDefault="001E20E8" w:rsidP="001E20E8">
            <w:pPr>
              <w:pStyle w:val="TLTExecution"/>
            </w:pPr>
            <w:r>
              <w:t>Witness signature</w:t>
            </w:r>
          </w:p>
          <w:p w:rsidR="001E20E8" w:rsidRDefault="001E20E8" w:rsidP="001E20E8">
            <w:pPr>
              <w:pStyle w:val="TLTExecution"/>
            </w:pPr>
            <w:r>
              <w:t>Witness name</w:t>
            </w:r>
          </w:p>
          <w:p w:rsidR="001E20E8" w:rsidRDefault="001E20E8" w:rsidP="001E20E8">
            <w:pPr>
              <w:pStyle w:val="TLTExecution"/>
            </w:pPr>
            <w:r>
              <w:t>Witness address</w:t>
            </w:r>
          </w:p>
          <w:p w:rsidR="001E20E8" w:rsidRDefault="001E20E8" w:rsidP="001E20E8">
            <w:pPr>
              <w:pStyle w:val="TLTExecution"/>
            </w:pPr>
          </w:p>
          <w:p w:rsidR="001E20E8" w:rsidRPr="006E28BE" w:rsidRDefault="001E20E8" w:rsidP="001E20E8">
            <w:pPr>
              <w:pStyle w:val="TLTExecution"/>
            </w:pPr>
            <w:r>
              <w:t>Witness occupation</w:t>
            </w:r>
          </w:p>
        </w:tc>
        <w:tc>
          <w:tcPr>
            <w:tcW w:w="4332" w:type="dxa"/>
            <w:shd w:val="clear" w:color="auto" w:fill="auto"/>
          </w:tcPr>
          <w:p w:rsidR="006E28BE" w:rsidRDefault="006E28BE" w:rsidP="006E28BE">
            <w:pPr>
              <w:pStyle w:val="TLTBodyText"/>
            </w:pPr>
          </w:p>
        </w:tc>
      </w:tr>
    </w:tbl>
    <w:p w:rsidR="006E28BE" w:rsidRDefault="006E28BE" w:rsidP="006E28BE">
      <w:pPr>
        <w:pStyle w:val="TLTBodyText"/>
      </w:pPr>
    </w:p>
    <w:tbl>
      <w:tblPr>
        <w:tblW w:w="0" w:type="auto"/>
        <w:tblLook w:val="01E0" w:firstRow="1" w:lastRow="1" w:firstColumn="1" w:lastColumn="1" w:noHBand="0" w:noVBand="0"/>
      </w:tblPr>
      <w:tblGrid>
        <w:gridCol w:w="4331"/>
        <w:gridCol w:w="4332"/>
      </w:tblGrid>
      <w:tr w:rsidR="006E28BE" w:rsidTr="003D5AFA">
        <w:tc>
          <w:tcPr>
            <w:tcW w:w="4331" w:type="dxa"/>
            <w:shd w:val="clear" w:color="auto" w:fill="auto"/>
          </w:tcPr>
          <w:p w:rsidR="001E20E8" w:rsidRDefault="00E94E86" w:rsidP="003D5AFA">
            <w:pPr>
              <w:pStyle w:val="TLTBodyText"/>
              <w:tabs>
                <w:tab w:val="left" w:pos="3945"/>
              </w:tabs>
            </w:pPr>
            <w:r w:rsidRPr="00D844BF">
              <w:rPr>
                <w:rStyle w:val="TLTBodyTextBoldChar"/>
              </w:rPr>
              <w:t xml:space="preserve">Executed </w:t>
            </w:r>
            <w:r w:rsidR="007C6AAE" w:rsidRPr="00D844BF">
              <w:rPr>
                <w:rStyle w:val="TLTBodyTextBoldChar"/>
              </w:rPr>
              <w:t>as a deed</w:t>
            </w:r>
            <w:r w:rsidR="007C6AAE">
              <w:t xml:space="preserve"> by </w:t>
            </w:r>
            <w:r w:rsidR="007C6AA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7C6AAE" w:rsidRPr="00862CCB">
              <w:rPr>
                <w:rStyle w:val="TLTBodyTextBoldChar"/>
              </w:rPr>
              <w:t>●</w:t>
            </w:r>
            <w:r w:rsidR="00DF4DEA">
              <w:rPr>
                <w:rStyle w:val="TLTBodyTextBoldChar"/>
              </w:rPr>
              <w:fldChar w:fldCharType="begin"/>
            </w:r>
            <w:r w:rsidR="00DF4DEA">
              <w:rPr>
                <w:rStyle w:val="TLTBodyTextBoldChar"/>
              </w:rPr>
              <w:instrText xml:space="preserve">  </w:instrText>
            </w:r>
            <w:r w:rsidR="00DF4DEA">
              <w:rPr>
                <w:rStyle w:val="TLTBodyTextBoldChar"/>
              </w:rPr>
              <w:fldChar w:fldCharType="end"/>
            </w:r>
            <w:r w:rsidR="007C6AAE" w:rsidRPr="00862CCB">
              <w:rPr>
                <w:rStyle w:val="TLTBodyTextBoldChar"/>
              </w:rPr>
              <w:t>]</w:t>
            </w:r>
            <w:r w:rsidR="007C6AAE">
              <w:tab/>
            </w:r>
            <w:r w:rsidR="001E20E8">
              <w:t>)</w:t>
            </w:r>
            <w:r w:rsidR="001E20E8">
              <w:br/>
              <w:t>in the presence of</w:t>
            </w:r>
            <w:r w:rsidR="001E20E8">
              <w:tab/>
              <w:t>)</w:t>
            </w:r>
          </w:p>
          <w:p w:rsidR="001E20E8" w:rsidRDefault="001E20E8" w:rsidP="001E20E8">
            <w:pPr>
              <w:pStyle w:val="TLTExecution"/>
            </w:pPr>
            <w:r>
              <w:t>Witness signature</w:t>
            </w:r>
          </w:p>
          <w:p w:rsidR="001E20E8" w:rsidRDefault="001E20E8" w:rsidP="001E20E8">
            <w:pPr>
              <w:pStyle w:val="TLTExecution"/>
            </w:pPr>
            <w:r>
              <w:t>Witness name</w:t>
            </w:r>
          </w:p>
          <w:p w:rsidR="001E20E8" w:rsidRDefault="001E20E8" w:rsidP="001E20E8">
            <w:pPr>
              <w:pStyle w:val="TLTExecution"/>
            </w:pPr>
            <w:r>
              <w:t>Witness address</w:t>
            </w:r>
          </w:p>
          <w:p w:rsidR="001E20E8" w:rsidRDefault="001E20E8" w:rsidP="001E20E8">
            <w:pPr>
              <w:pStyle w:val="TLTExecution"/>
            </w:pPr>
          </w:p>
          <w:p w:rsidR="006E28BE" w:rsidRDefault="001E20E8" w:rsidP="001E20E8">
            <w:pPr>
              <w:pStyle w:val="TLTExecution"/>
            </w:pPr>
            <w:r>
              <w:t>Witness occupation</w:t>
            </w:r>
          </w:p>
        </w:tc>
        <w:tc>
          <w:tcPr>
            <w:tcW w:w="4332" w:type="dxa"/>
            <w:shd w:val="clear" w:color="auto" w:fill="auto"/>
          </w:tcPr>
          <w:p w:rsidR="006E28BE" w:rsidRDefault="006E28BE" w:rsidP="006E28BE">
            <w:pPr>
              <w:pStyle w:val="TLTBodyText"/>
            </w:pPr>
          </w:p>
        </w:tc>
      </w:tr>
    </w:tbl>
    <w:p w:rsidR="006E28BE" w:rsidRPr="006E28BE" w:rsidRDefault="006E28BE" w:rsidP="006E28BE">
      <w:pPr>
        <w:pStyle w:val="TLTBodyText"/>
      </w:pPr>
    </w:p>
    <w:sectPr w:rsidR="006E28BE" w:rsidRPr="006E28BE" w:rsidSect="005112DA">
      <w:pgSz w:w="11906" w:h="16838" w:code="9"/>
      <w:pgMar w:top="1440" w:right="1588" w:bottom="1440" w:left="1843" w:header="567" w:footer="431" w:gutter="0"/>
      <w:paperSrc w:first="265" w:other="26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toolbars>
    <wne:acdManifest>
      <wne:acdEntry wne:acdName="acd0"/>
    </wne:acdManifest>
  </wne:toolbars>
  <wne:acds>
    <wne:acd wne:argValue="AgBUAEwAVAAgAEwAZQB2AGUAbAAgADE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71D" w:rsidRDefault="0067671D">
      <w:r>
        <w:separator/>
      </w:r>
    </w:p>
  </w:endnote>
  <w:endnote w:type="continuationSeparator" w:id="0">
    <w:p w:rsidR="0067671D" w:rsidRDefault="0067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DEA" w:rsidRDefault="00DF4DEA"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2C7F">
      <w:rPr>
        <w:rStyle w:val="PageNumber"/>
        <w:noProof/>
      </w:rPr>
      <w:t>4</w:t>
    </w:r>
    <w:r>
      <w:rPr>
        <w:rStyle w:val="PageNumber"/>
      </w:rPr>
      <w:fldChar w:fldCharType="end"/>
    </w:r>
  </w:p>
  <w:p w:rsidR="00DF4DEA" w:rsidRDefault="00DF4D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DEA" w:rsidRDefault="00DF4DEA"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1060">
      <w:rPr>
        <w:rStyle w:val="PageNumber"/>
        <w:noProof/>
      </w:rPr>
      <w:t>4</w:t>
    </w:r>
    <w:r>
      <w:rPr>
        <w:rStyle w:val="PageNumber"/>
      </w:rPr>
      <w:fldChar w:fldCharType="end"/>
    </w:r>
  </w:p>
  <w:tbl>
    <w:tblPr>
      <w:tblW w:w="0" w:type="auto"/>
      <w:tblLook w:val="01E0" w:firstRow="1" w:lastRow="1" w:firstColumn="1" w:lastColumn="1" w:noHBand="0" w:noVBand="0"/>
    </w:tblPr>
    <w:tblGrid>
      <w:gridCol w:w="2887"/>
      <w:gridCol w:w="2888"/>
      <w:gridCol w:w="2888"/>
    </w:tblGrid>
    <w:tr w:rsidR="00DF4DEA" w:rsidTr="003D5AFA">
      <w:tc>
        <w:tcPr>
          <w:tcW w:w="2887" w:type="dxa"/>
          <w:shd w:val="clear" w:color="auto" w:fill="auto"/>
        </w:tcPr>
        <w:p w:rsidR="00DF4DEA" w:rsidRDefault="00251060" w:rsidP="001E20E8">
          <w:pPr>
            <w:pStyle w:val="Footer"/>
          </w:pPr>
          <w:r>
            <w:fldChar w:fldCharType="begin"/>
          </w:r>
          <w:r>
            <w:instrText xml:space="preserve"> DOCPROPERTY DocID \* MERGEFORMAT </w:instrText>
          </w:r>
          <w:r>
            <w:fldChar w:fldCharType="separate"/>
          </w:r>
          <w:r w:rsidR="00D82C7F">
            <w:t>42060828.1</w:t>
          </w:r>
          <w:r>
            <w:fldChar w:fldCharType="end"/>
          </w:r>
        </w:p>
      </w:tc>
      <w:tc>
        <w:tcPr>
          <w:tcW w:w="2888" w:type="dxa"/>
          <w:shd w:val="clear" w:color="auto" w:fill="auto"/>
        </w:tcPr>
        <w:p w:rsidR="00DF4DEA" w:rsidRDefault="00DF4DEA" w:rsidP="001E20E8">
          <w:pPr>
            <w:pStyle w:val="Footer"/>
          </w:pPr>
        </w:p>
      </w:tc>
      <w:tc>
        <w:tcPr>
          <w:tcW w:w="2888" w:type="dxa"/>
          <w:shd w:val="clear" w:color="auto" w:fill="auto"/>
        </w:tcPr>
        <w:p w:rsidR="00DF4DEA" w:rsidRDefault="00DF4DEA" w:rsidP="003D5AFA">
          <w:pPr>
            <w:pStyle w:val="Footer"/>
            <w:jc w:val="right"/>
          </w:pPr>
        </w:p>
      </w:tc>
    </w:tr>
  </w:tbl>
  <w:p w:rsidR="00DF4DEA" w:rsidRDefault="00DF4DEA" w:rsidP="006E2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087" w:type="dxa"/>
      <w:tblLook w:val="01E0" w:firstRow="1" w:lastRow="1" w:firstColumn="1" w:lastColumn="1" w:noHBand="0" w:noVBand="0"/>
    </w:tblPr>
    <w:tblGrid>
      <w:gridCol w:w="3300"/>
    </w:tblGrid>
    <w:tr w:rsidR="00DF4DEA" w:rsidTr="003D5AFA">
      <w:tc>
        <w:tcPr>
          <w:tcW w:w="3300" w:type="dxa"/>
          <w:shd w:val="clear" w:color="auto" w:fill="auto"/>
        </w:tcPr>
        <w:p w:rsidR="00DF4DEA" w:rsidRDefault="00DF4DEA">
          <w:pPr>
            <w:pStyle w:val="Footer"/>
            <w:rPr>
              <w:szCs w:val="16"/>
            </w:rPr>
          </w:pPr>
          <w:bookmarkStart w:id="5" w:name="bmkOffice"/>
          <w:smartTag w:uri="urn:schemas-microsoft-com:office:smarttags" w:element="Street">
            <w:smartTag w:uri="urn:schemas-microsoft-com:office:smarttags" w:element="address">
              <w:r>
                <w:rPr>
                  <w:szCs w:val="16"/>
                </w:rPr>
                <w:t>One Redcliff Street</w:t>
              </w:r>
            </w:smartTag>
          </w:smartTag>
        </w:p>
        <w:p w:rsidR="00DF4DEA" w:rsidRDefault="00DF4DEA">
          <w:pPr>
            <w:pStyle w:val="Footer"/>
            <w:rPr>
              <w:szCs w:val="16"/>
            </w:rPr>
          </w:pPr>
          <w:smartTag w:uri="urn:schemas-microsoft-com:office:smarttags" w:element="City">
            <w:smartTag w:uri="urn:schemas-microsoft-com:office:smarttags" w:element="place">
              <w:r>
                <w:rPr>
                  <w:szCs w:val="16"/>
                </w:rPr>
                <w:t>Bristol</w:t>
              </w:r>
            </w:smartTag>
          </w:smartTag>
          <w:r>
            <w:rPr>
              <w:szCs w:val="16"/>
            </w:rPr>
            <w:t xml:space="preserve"> BS1 6TP</w:t>
          </w:r>
        </w:p>
        <w:p w:rsidR="00DF4DEA" w:rsidRDefault="00DF4DEA">
          <w:pPr>
            <w:pStyle w:val="Footer"/>
            <w:rPr>
              <w:szCs w:val="16"/>
            </w:rPr>
          </w:pPr>
          <w:r>
            <w:rPr>
              <w:szCs w:val="16"/>
            </w:rPr>
            <w:t>+44 (0)333 006 0000</w:t>
          </w:r>
        </w:p>
        <w:p w:rsidR="00DF4DEA" w:rsidRDefault="00DF4DEA">
          <w:pPr>
            <w:pStyle w:val="Footer"/>
            <w:rPr>
              <w:szCs w:val="16"/>
            </w:rPr>
          </w:pPr>
          <w:r>
            <w:rPr>
              <w:szCs w:val="16"/>
            </w:rPr>
            <w:t>+44 (0)333 006 0011</w:t>
          </w:r>
        </w:p>
        <w:p w:rsidR="00DF4DEA" w:rsidRPr="003D5AFA" w:rsidRDefault="00DF4DEA">
          <w:pPr>
            <w:pStyle w:val="Footer"/>
            <w:rPr>
              <w:szCs w:val="16"/>
            </w:rPr>
          </w:pPr>
          <w:r>
            <w:rPr>
              <w:szCs w:val="16"/>
            </w:rPr>
            <w:t xml:space="preserve">DX 7815 </w:t>
          </w:r>
          <w:smartTag w:uri="urn:schemas-microsoft-com:office:smarttags" w:element="City">
            <w:smartTag w:uri="urn:schemas-microsoft-com:office:smarttags" w:element="place">
              <w:r>
                <w:rPr>
                  <w:szCs w:val="16"/>
                </w:rPr>
                <w:t>Bristol</w:t>
              </w:r>
            </w:smartTag>
          </w:smartTag>
          <w:bookmarkEnd w:id="5"/>
          <w:r w:rsidRPr="003D5AFA">
            <w:rPr>
              <w:szCs w:val="16"/>
            </w:rPr>
            <w:br/>
          </w:r>
        </w:p>
        <w:p w:rsidR="00DF4DEA" w:rsidRPr="003D5AFA" w:rsidRDefault="00DF4DEA">
          <w:pPr>
            <w:pStyle w:val="Footer"/>
            <w:rPr>
              <w:szCs w:val="16"/>
            </w:rPr>
          </w:pPr>
          <w:bookmarkStart w:id="6" w:name="bmkWebAddress"/>
          <w:r w:rsidRPr="003D5AFA">
            <w:rPr>
              <w:szCs w:val="16"/>
            </w:rPr>
            <w:t>www.TLTsolicitors.com</w:t>
          </w:r>
        </w:p>
        <w:bookmarkEnd w:id="6"/>
        <w:p w:rsidR="00DF4DEA" w:rsidRPr="003D5AFA" w:rsidRDefault="00DF4DEA">
          <w:pPr>
            <w:pStyle w:val="Footer"/>
            <w:rPr>
              <w:sz w:val="12"/>
              <w:szCs w:val="12"/>
            </w:rPr>
          </w:pPr>
          <w:r w:rsidRPr="003D5AFA">
            <w:rPr>
              <w:sz w:val="12"/>
              <w:szCs w:val="12"/>
            </w:rPr>
            <w:fldChar w:fldCharType="begin"/>
          </w:r>
          <w:r w:rsidRPr="003D5AFA">
            <w:rPr>
              <w:sz w:val="12"/>
              <w:szCs w:val="12"/>
            </w:rPr>
            <w:instrText xml:space="preserve"> DOCPROPERTY DocID \* MERGEFORMAT </w:instrText>
          </w:r>
          <w:r w:rsidRPr="003D5AFA">
            <w:rPr>
              <w:sz w:val="12"/>
              <w:szCs w:val="12"/>
            </w:rPr>
            <w:fldChar w:fldCharType="separate"/>
          </w:r>
          <w:r w:rsidR="00D82C7F">
            <w:rPr>
              <w:sz w:val="12"/>
              <w:szCs w:val="12"/>
            </w:rPr>
            <w:t>42060828.1</w:t>
          </w:r>
          <w:r w:rsidRPr="003D5AFA">
            <w:rPr>
              <w:sz w:val="12"/>
              <w:szCs w:val="12"/>
            </w:rPr>
            <w:fldChar w:fldCharType="end"/>
          </w:r>
        </w:p>
      </w:tc>
    </w:tr>
  </w:tbl>
  <w:p w:rsidR="00DF4DEA" w:rsidRDefault="00DF4DE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DEA" w:rsidRDefault="00DF4DEA"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1060">
      <w:rPr>
        <w:rStyle w:val="PageNumber"/>
        <w:noProof/>
      </w:rPr>
      <w:t>2</w:t>
    </w:r>
    <w:r>
      <w:rPr>
        <w:rStyle w:val="PageNumber"/>
      </w:rPr>
      <w:fldChar w:fldCharType="end"/>
    </w:r>
  </w:p>
  <w:tbl>
    <w:tblPr>
      <w:tblW w:w="0" w:type="auto"/>
      <w:tblLook w:val="01E0" w:firstRow="1" w:lastRow="1" w:firstColumn="1" w:lastColumn="1" w:noHBand="0" w:noVBand="0"/>
    </w:tblPr>
    <w:tblGrid>
      <w:gridCol w:w="2887"/>
      <w:gridCol w:w="2888"/>
      <w:gridCol w:w="2888"/>
    </w:tblGrid>
    <w:tr w:rsidR="00DF4DEA" w:rsidTr="003D5AFA">
      <w:tc>
        <w:tcPr>
          <w:tcW w:w="2887" w:type="dxa"/>
          <w:shd w:val="clear" w:color="auto" w:fill="auto"/>
        </w:tcPr>
        <w:p w:rsidR="00DF4DEA" w:rsidRDefault="00251060">
          <w:pPr>
            <w:pStyle w:val="Footer"/>
          </w:pPr>
          <w:r>
            <w:fldChar w:fldCharType="begin"/>
          </w:r>
          <w:r>
            <w:instrText xml:space="preserve"> DOCPROPERTY DocID \* MERGEFORMAT </w:instrText>
          </w:r>
          <w:r>
            <w:fldChar w:fldCharType="separate"/>
          </w:r>
          <w:r w:rsidR="00D82C7F">
            <w:t>42060828.1</w:t>
          </w:r>
          <w:r>
            <w:fldChar w:fldCharType="end"/>
          </w:r>
        </w:p>
      </w:tc>
      <w:tc>
        <w:tcPr>
          <w:tcW w:w="2888" w:type="dxa"/>
          <w:shd w:val="clear" w:color="auto" w:fill="auto"/>
        </w:tcPr>
        <w:p w:rsidR="00DF4DEA" w:rsidRDefault="00DF4DEA" w:rsidP="009E404C">
          <w:pPr>
            <w:pStyle w:val="Footer"/>
          </w:pPr>
        </w:p>
      </w:tc>
      <w:tc>
        <w:tcPr>
          <w:tcW w:w="2888" w:type="dxa"/>
          <w:shd w:val="clear" w:color="auto" w:fill="auto"/>
        </w:tcPr>
        <w:p w:rsidR="00DF4DEA" w:rsidRDefault="00DF4DEA" w:rsidP="003D5AFA">
          <w:pPr>
            <w:pStyle w:val="Footer"/>
            <w:jc w:val="right"/>
          </w:pPr>
        </w:p>
      </w:tc>
    </w:tr>
  </w:tbl>
  <w:p w:rsidR="00DF4DEA" w:rsidRDefault="00DF4D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71D" w:rsidRDefault="0067671D">
      <w:r>
        <w:separator/>
      </w:r>
    </w:p>
  </w:footnote>
  <w:footnote w:type="continuationSeparator" w:id="0">
    <w:p w:rsidR="0067671D" w:rsidRDefault="00676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C7F" w:rsidRDefault="00D82C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361" w:type="dxa"/>
      <w:tblLayout w:type="fixed"/>
      <w:tblLook w:val="01E0" w:firstRow="1" w:lastRow="1" w:firstColumn="1" w:lastColumn="1" w:noHBand="0" w:noVBand="0"/>
    </w:tblPr>
    <w:tblGrid>
      <w:gridCol w:w="1418"/>
      <w:gridCol w:w="1985"/>
      <w:gridCol w:w="4785"/>
      <w:gridCol w:w="1877"/>
    </w:tblGrid>
    <w:tr w:rsidR="00DF4DEA" w:rsidTr="003D5AFA">
      <w:trPr>
        <w:trHeight w:val="1618"/>
      </w:trPr>
      <w:tc>
        <w:tcPr>
          <w:tcW w:w="1418" w:type="dxa"/>
          <w:shd w:val="clear" w:color="auto" w:fill="auto"/>
        </w:tcPr>
        <w:p w:rsidR="00DF4DEA" w:rsidRDefault="00DF4DEA">
          <w:pPr>
            <w:pStyle w:val="Header"/>
          </w:pPr>
          <w:r>
            <w:t>TLT LLP</w:t>
          </w:r>
        </w:p>
      </w:tc>
      <w:tc>
        <w:tcPr>
          <w:tcW w:w="1985" w:type="dxa"/>
          <w:shd w:val="clear" w:color="auto" w:fill="auto"/>
        </w:tcPr>
        <w:p w:rsidR="00DF4DEA" w:rsidRDefault="00DF4DEA">
          <w:pPr>
            <w:pStyle w:val="Header"/>
          </w:pPr>
        </w:p>
      </w:tc>
      <w:tc>
        <w:tcPr>
          <w:tcW w:w="4785" w:type="dxa"/>
          <w:shd w:val="clear" w:color="auto" w:fill="auto"/>
        </w:tcPr>
        <w:p w:rsidR="00DF4DEA" w:rsidRDefault="00DF4DEA">
          <w:pPr>
            <w:pStyle w:val="Header"/>
          </w:pPr>
        </w:p>
      </w:tc>
      <w:tc>
        <w:tcPr>
          <w:tcW w:w="1877" w:type="dxa"/>
          <w:shd w:val="clear" w:color="auto" w:fill="auto"/>
        </w:tcPr>
        <w:p w:rsidR="00DF4DEA" w:rsidRDefault="00E245A0" w:rsidP="003D5AFA">
          <w:pPr>
            <w:pStyle w:val="Header"/>
            <w:jc w:val="right"/>
          </w:pPr>
          <w:r>
            <w:rPr>
              <w:noProof/>
              <w:lang w:eastAsia="en-GB"/>
            </w:rPr>
            <w:drawing>
              <wp:inline distT="0" distB="0" distL="0" distR="0" wp14:anchorId="076CA5C7" wp14:editId="6E20836E">
                <wp:extent cx="971550" cy="971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p>
      </w:tc>
    </w:tr>
  </w:tbl>
  <w:p w:rsidR="00DF4DEA" w:rsidRPr="004B3576" w:rsidRDefault="00DF4DEA">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9B2" w:rsidRDefault="007439B2"/>
  <w:tbl>
    <w:tblPr>
      <w:tblW w:w="10065" w:type="dxa"/>
      <w:tblInd w:w="-1361" w:type="dxa"/>
      <w:tblLayout w:type="fixed"/>
      <w:tblLook w:val="01E0" w:firstRow="1" w:lastRow="1" w:firstColumn="1" w:lastColumn="1" w:noHBand="0" w:noVBand="0"/>
    </w:tblPr>
    <w:tblGrid>
      <w:gridCol w:w="1418"/>
      <w:gridCol w:w="1985"/>
      <w:gridCol w:w="4785"/>
      <w:gridCol w:w="1877"/>
    </w:tblGrid>
    <w:tr w:rsidR="00DF4DEA" w:rsidTr="007439B2">
      <w:trPr>
        <w:trHeight w:val="1618"/>
      </w:trPr>
      <w:tc>
        <w:tcPr>
          <w:tcW w:w="1418" w:type="dxa"/>
          <w:shd w:val="clear" w:color="auto" w:fill="auto"/>
        </w:tcPr>
        <w:p w:rsidR="007439B2" w:rsidRDefault="007439B2" w:rsidP="001E20E8">
          <w:pPr>
            <w:pStyle w:val="Header"/>
            <w:rPr>
              <w:b/>
              <w:sz w:val="16"/>
              <w:szCs w:val="16"/>
            </w:rPr>
          </w:pPr>
          <w:r>
            <w:rPr>
              <w:b/>
              <w:sz w:val="16"/>
              <w:szCs w:val="16"/>
            </w:rPr>
            <w:t>TLT LLP</w:t>
          </w:r>
        </w:p>
        <w:p w:rsidR="00DF4DEA" w:rsidRPr="003D5AFA" w:rsidRDefault="00F640F6" w:rsidP="001E20E8">
          <w:pPr>
            <w:pStyle w:val="Header"/>
            <w:rPr>
              <w:b/>
              <w:sz w:val="16"/>
              <w:szCs w:val="16"/>
            </w:rPr>
          </w:pPr>
          <w:r>
            <w:rPr>
              <w:b/>
              <w:sz w:val="16"/>
              <w:szCs w:val="16"/>
            </w:rPr>
            <w:t>Schedule N</w:t>
          </w:r>
          <w:r w:rsidR="007439B2">
            <w:rPr>
              <w:b/>
              <w:sz w:val="16"/>
              <w:szCs w:val="16"/>
            </w:rPr>
            <w:t xml:space="preserve"> (Lot 1, 2 &amp; 3)</w:t>
          </w:r>
        </w:p>
      </w:tc>
      <w:tc>
        <w:tcPr>
          <w:tcW w:w="1985" w:type="dxa"/>
          <w:shd w:val="clear" w:color="auto" w:fill="auto"/>
        </w:tcPr>
        <w:p w:rsidR="00DF4DEA" w:rsidRDefault="00DF4DEA" w:rsidP="001E20E8">
          <w:pPr>
            <w:pStyle w:val="Header"/>
          </w:pPr>
        </w:p>
      </w:tc>
      <w:tc>
        <w:tcPr>
          <w:tcW w:w="4785" w:type="dxa"/>
          <w:shd w:val="clear" w:color="auto" w:fill="auto"/>
        </w:tcPr>
        <w:p w:rsidR="00DF4DEA" w:rsidRDefault="00DF4DEA" w:rsidP="001E20E8">
          <w:pPr>
            <w:pStyle w:val="Header"/>
          </w:pPr>
        </w:p>
      </w:tc>
      <w:tc>
        <w:tcPr>
          <w:tcW w:w="1877" w:type="dxa"/>
          <w:shd w:val="clear" w:color="auto" w:fill="auto"/>
        </w:tcPr>
        <w:p w:rsidR="00DF4DEA" w:rsidRDefault="00CD7ABC" w:rsidP="003D5AFA">
          <w:pPr>
            <w:pStyle w:val="Header"/>
            <w:jc w:val="right"/>
          </w:pPr>
          <w:r>
            <w:rPr>
              <w:noProof/>
              <w:lang w:eastAsia="en-GB"/>
            </w:rPr>
            <w:drawing>
              <wp:inline distT="0" distB="0" distL="0" distR="0" wp14:anchorId="7183C23D" wp14:editId="66BFA09C">
                <wp:extent cx="971550" cy="971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p>
      </w:tc>
    </w:tr>
  </w:tbl>
  <w:p w:rsidR="00DF4DEA" w:rsidRPr="004B3576" w:rsidRDefault="00DF4DEA">
    <w:pPr>
      <w:pStyle w:val="Head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DEA" w:rsidRPr="004B3576" w:rsidRDefault="00DF4DEA">
    <w:pPr>
      <w:pStyle w:val="Head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DEA" w:rsidRPr="004B3576" w:rsidRDefault="00DF4DEA">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7C10294"/>
    <w:multiLevelType w:val="multilevel"/>
    <w:tmpl w:val="E1E471E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none"/>
      <w:lvlText w:val=""/>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nsid w:val="1F566CF2"/>
    <w:multiLevelType w:val="multilevel"/>
    <w:tmpl w:val="A3B62992"/>
    <w:numStyleLink w:val="Appendix"/>
  </w:abstractNum>
  <w:abstractNum w:abstractNumId="7">
    <w:nsid w:val="23116E6D"/>
    <w:multiLevelType w:val="multilevel"/>
    <w:tmpl w:val="28FEF948"/>
    <w:numStyleLink w:val="Appendixheading"/>
  </w:abstractNum>
  <w:abstractNum w:abstractNumId="8">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nsid w:val="380421E4"/>
    <w:multiLevelType w:val="multilevel"/>
    <w:tmpl w:val="72B2A5CE"/>
    <w:numStyleLink w:val="Scheduletext"/>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61C92B75"/>
    <w:multiLevelType w:val="multilevel"/>
    <w:tmpl w:val="5C129AB6"/>
    <w:numStyleLink w:val="Definitions"/>
  </w:abstractNum>
  <w:abstractNum w:abstractNumId="16">
    <w:nsid w:val="702C2885"/>
    <w:multiLevelType w:val="multilevel"/>
    <w:tmpl w:val="0F745380"/>
    <w:numStyleLink w:val="Bullets"/>
  </w:abstractNum>
  <w:abstractNum w:abstractNumId="17">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0"/>
  </w:num>
  <w:num w:numId="4">
    <w:abstractNumId w:val="18"/>
  </w:num>
  <w:num w:numId="5">
    <w:abstractNumId w:val="17"/>
  </w:num>
  <w:num w:numId="6">
    <w:abstractNumId w:val="5"/>
  </w:num>
  <w:num w:numId="7">
    <w:abstractNumId w:val="3"/>
  </w:num>
  <w:num w:numId="8">
    <w:abstractNumId w:val="9"/>
  </w:num>
  <w:num w:numId="9">
    <w:abstractNumId w:val="2"/>
  </w:num>
  <w:num w:numId="10">
    <w:abstractNumId w:val="11"/>
  </w:num>
  <w:num w:numId="11">
    <w:abstractNumId w:val="8"/>
  </w:num>
  <w:num w:numId="12">
    <w:abstractNumId w:val="1"/>
  </w:num>
  <w:num w:numId="13">
    <w:abstractNumId w:val="13"/>
  </w:num>
  <w:num w:numId="14">
    <w:abstractNumId w:val="14"/>
  </w:num>
  <w:num w:numId="15">
    <w:abstractNumId w:val="15"/>
  </w:num>
  <w:num w:numId="16">
    <w:abstractNumId w:val="7"/>
  </w:num>
  <w:num w:numId="17">
    <w:abstractNumId w:val="16"/>
  </w:num>
  <w:num w:numId="18">
    <w:abstractNumId w:val="6"/>
  </w:num>
  <w:num w:numId="19">
    <w:abstractNumId w:val="12"/>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F65"/>
    <w:rsid w:val="0004497A"/>
    <w:rsid w:val="00047748"/>
    <w:rsid w:val="00064768"/>
    <w:rsid w:val="00095D59"/>
    <w:rsid w:val="001105EE"/>
    <w:rsid w:val="001213EB"/>
    <w:rsid w:val="00133ED9"/>
    <w:rsid w:val="0013656C"/>
    <w:rsid w:val="00147FD0"/>
    <w:rsid w:val="00153602"/>
    <w:rsid w:val="0019228C"/>
    <w:rsid w:val="00194C71"/>
    <w:rsid w:val="001A0F4A"/>
    <w:rsid w:val="001B3552"/>
    <w:rsid w:val="001E20E8"/>
    <w:rsid w:val="0021486B"/>
    <w:rsid w:val="002346F3"/>
    <w:rsid w:val="0024682E"/>
    <w:rsid w:val="00251060"/>
    <w:rsid w:val="00267EE5"/>
    <w:rsid w:val="00267FE6"/>
    <w:rsid w:val="002963EE"/>
    <w:rsid w:val="002C01F1"/>
    <w:rsid w:val="002D18D8"/>
    <w:rsid w:val="002D2EA1"/>
    <w:rsid w:val="003141E6"/>
    <w:rsid w:val="00331DCA"/>
    <w:rsid w:val="0034467D"/>
    <w:rsid w:val="003706D3"/>
    <w:rsid w:val="00380F97"/>
    <w:rsid w:val="003873FC"/>
    <w:rsid w:val="00391398"/>
    <w:rsid w:val="003B3B7C"/>
    <w:rsid w:val="003B7D82"/>
    <w:rsid w:val="003C0D7E"/>
    <w:rsid w:val="003C1A61"/>
    <w:rsid w:val="003D5AFA"/>
    <w:rsid w:val="0040577F"/>
    <w:rsid w:val="00410C45"/>
    <w:rsid w:val="00434C23"/>
    <w:rsid w:val="0044152F"/>
    <w:rsid w:val="00463E67"/>
    <w:rsid w:val="00464088"/>
    <w:rsid w:val="00480050"/>
    <w:rsid w:val="00485B79"/>
    <w:rsid w:val="004A185D"/>
    <w:rsid w:val="004A61AF"/>
    <w:rsid w:val="004B3576"/>
    <w:rsid w:val="004C3301"/>
    <w:rsid w:val="004E031F"/>
    <w:rsid w:val="00511093"/>
    <w:rsid w:val="005112DA"/>
    <w:rsid w:val="00545D42"/>
    <w:rsid w:val="0055244D"/>
    <w:rsid w:val="005614D6"/>
    <w:rsid w:val="00563A20"/>
    <w:rsid w:val="005706F1"/>
    <w:rsid w:val="005B2B98"/>
    <w:rsid w:val="0065100B"/>
    <w:rsid w:val="0067671D"/>
    <w:rsid w:val="006C3D21"/>
    <w:rsid w:val="006C3F86"/>
    <w:rsid w:val="006E28BE"/>
    <w:rsid w:val="00702105"/>
    <w:rsid w:val="007025A3"/>
    <w:rsid w:val="0072551D"/>
    <w:rsid w:val="0074360D"/>
    <w:rsid w:val="007439B2"/>
    <w:rsid w:val="00765864"/>
    <w:rsid w:val="00786048"/>
    <w:rsid w:val="007A0544"/>
    <w:rsid w:val="007A57A5"/>
    <w:rsid w:val="007B7DE6"/>
    <w:rsid w:val="007C6AAE"/>
    <w:rsid w:val="007C7ABB"/>
    <w:rsid w:val="007E3533"/>
    <w:rsid w:val="00801455"/>
    <w:rsid w:val="00835B44"/>
    <w:rsid w:val="008369BB"/>
    <w:rsid w:val="00843BC9"/>
    <w:rsid w:val="00846F65"/>
    <w:rsid w:val="00857DC3"/>
    <w:rsid w:val="00862CCB"/>
    <w:rsid w:val="008763F4"/>
    <w:rsid w:val="00880F74"/>
    <w:rsid w:val="008A2E1C"/>
    <w:rsid w:val="008B7A22"/>
    <w:rsid w:val="008F302C"/>
    <w:rsid w:val="00902B06"/>
    <w:rsid w:val="009059A4"/>
    <w:rsid w:val="0091078D"/>
    <w:rsid w:val="009203CA"/>
    <w:rsid w:val="00965AE6"/>
    <w:rsid w:val="0098719F"/>
    <w:rsid w:val="009A48C9"/>
    <w:rsid w:val="009C2673"/>
    <w:rsid w:val="009D0A31"/>
    <w:rsid w:val="009E181D"/>
    <w:rsid w:val="009E404C"/>
    <w:rsid w:val="00A104D3"/>
    <w:rsid w:val="00A22D64"/>
    <w:rsid w:val="00A57710"/>
    <w:rsid w:val="00A70F68"/>
    <w:rsid w:val="00A93E00"/>
    <w:rsid w:val="00A93F66"/>
    <w:rsid w:val="00AA2FAB"/>
    <w:rsid w:val="00AB2DE8"/>
    <w:rsid w:val="00AC2FBC"/>
    <w:rsid w:val="00AD719D"/>
    <w:rsid w:val="00B87CAA"/>
    <w:rsid w:val="00BC07D4"/>
    <w:rsid w:val="00BC1910"/>
    <w:rsid w:val="00C029CC"/>
    <w:rsid w:val="00C1758D"/>
    <w:rsid w:val="00C2457A"/>
    <w:rsid w:val="00C41562"/>
    <w:rsid w:val="00C51660"/>
    <w:rsid w:val="00C81E99"/>
    <w:rsid w:val="00C83791"/>
    <w:rsid w:val="00C93282"/>
    <w:rsid w:val="00CD6206"/>
    <w:rsid w:val="00CD7ABC"/>
    <w:rsid w:val="00CF41EA"/>
    <w:rsid w:val="00CF5369"/>
    <w:rsid w:val="00D12633"/>
    <w:rsid w:val="00D51EF7"/>
    <w:rsid w:val="00D52AC8"/>
    <w:rsid w:val="00D53E5A"/>
    <w:rsid w:val="00D570DC"/>
    <w:rsid w:val="00D82C7F"/>
    <w:rsid w:val="00D844BF"/>
    <w:rsid w:val="00D979DE"/>
    <w:rsid w:val="00DA3EAB"/>
    <w:rsid w:val="00DB2643"/>
    <w:rsid w:val="00DB517D"/>
    <w:rsid w:val="00DC10A3"/>
    <w:rsid w:val="00DE29B4"/>
    <w:rsid w:val="00DF4DEA"/>
    <w:rsid w:val="00E137B9"/>
    <w:rsid w:val="00E245A0"/>
    <w:rsid w:val="00E32F41"/>
    <w:rsid w:val="00E83B10"/>
    <w:rsid w:val="00E94E86"/>
    <w:rsid w:val="00EE1A46"/>
    <w:rsid w:val="00F1481E"/>
    <w:rsid w:val="00F539E8"/>
    <w:rsid w:val="00F640F6"/>
    <w:rsid w:val="00F75BD1"/>
    <w:rsid w:val="00F94690"/>
    <w:rsid w:val="00FB3603"/>
    <w:rsid w:val="00FD052E"/>
    <w:rsid w:val="00FE7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1E9F247B-E8B9-4DAA-8D74-F37E2125B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1">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45A0"/>
    <w:rPr>
      <w:rFonts w:eastAsia="Arial"/>
      <w:lang w:eastAsia="en-US"/>
    </w:rPr>
  </w:style>
  <w:style w:type="paragraph" w:styleId="Heading1">
    <w:name w:val="heading 1"/>
    <w:basedOn w:val="Normal"/>
    <w:next w:val="Normal"/>
    <w:uiPriority w:val="9"/>
    <w:semiHidden/>
    <w:qFormat/>
    <w:rsid w:val="00391398"/>
    <w:pPr>
      <w:keepNext/>
      <w:keepLines/>
      <w:spacing w:before="480"/>
      <w:outlineLvl w:val="0"/>
    </w:pPr>
    <w:rPr>
      <w:rFonts w:asciiTheme="majorHAnsi" w:eastAsiaTheme="majorEastAsia" w:hAnsiTheme="majorHAnsi" w:cstheme="majorBidi"/>
      <w:b/>
      <w:bCs/>
      <w:color w:val="365F91" w:themeColor="accent1" w:themeShade="BF"/>
      <w:sz w:val="28"/>
      <w:szCs w:val="28"/>
      <w:lang w:eastAsia="en-GB"/>
    </w:rPr>
  </w:style>
  <w:style w:type="paragraph" w:styleId="Heading2">
    <w:name w:val="heading 2"/>
    <w:basedOn w:val="Normal"/>
    <w:next w:val="Normal"/>
    <w:uiPriority w:val="9"/>
    <w:semiHidden/>
    <w:qFormat/>
    <w:rsid w:val="00391398"/>
    <w:pPr>
      <w:keepNext/>
      <w:keepLines/>
      <w:spacing w:before="200"/>
      <w:outlineLvl w:val="1"/>
    </w:pPr>
    <w:rPr>
      <w:rFonts w:asciiTheme="majorHAnsi" w:eastAsiaTheme="majorEastAsia" w:hAnsiTheme="majorHAnsi" w:cstheme="majorBidi"/>
      <w:b/>
      <w:bCs/>
      <w:color w:val="4F81BD" w:themeColor="accent1"/>
      <w:sz w:val="26"/>
      <w:szCs w:val="26"/>
      <w:lang w:eastAsia="en-GB"/>
    </w:rPr>
  </w:style>
  <w:style w:type="paragraph" w:styleId="Heading3">
    <w:name w:val="heading 3"/>
    <w:basedOn w:val="Normal"/>
    <w:next w:val="Normal"/>
    <w:uiPriority w:val="9"/>
    <w:semiHidden/>
    <w:qFormat/>
    <w:rsid w:val="00391398"/>
    <w:pPr>
      <w:keepNext/>
      <w:keepLines/>
      <w:spacing w:before="200"/>
      <w:outlineLvl w:val="2"/>
    </w:pPr>
    <w:rPr>
      <w:rFonts w:asciiTheme="majorHAnsi" w:eastAsiaTheme="majorEastAsia" w:hAnsiTheme="majorHAnsi" w:cstheme="majorBidi"/>
      <w:b/>
      <w:bCs/>
      <w:color w:val="4F81BD" w:themeColor="accent1"/>
      <w:lang w:eastAsia="en-GB"/>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lang w:eastAsia="en-GB"/>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lang w:eastAsia="en-GB"/>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lang w:eastAsia="en-GB"/>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lang w:eastAsia="en-GB"/>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lang w:eastAsia="en-GB"/>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E245A0"/>
    <w:pPr>
      <w:numPr>
        <w:numId w:val="18"/>
      </w:numPr>
      <w:spacing w:before="100" w:after="200"/>
    </w:pPr>
    <w:rPr>
      <w:rFonts w:eastAsia="Times New Roman"/>
      <w:szCs w:val="24"/>
      <w:lang w:eastAsia="en-GB"/>
    </w:rPr>
  </w:style>
  <w:style w:type="table" w:styleId="TableGrid">
    <w:name w:val="Table Grid"/>
    <w:basedOn w:val="TableNormal"/>
    <w:uiPriority w:val="59"/>
    <w:rsid w:val="00E245A0"/>
    <w:rPr>
      <w:rFonts w:eastAsia="Arial"/>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245A0"/>
    <w:rPr>
      <w:rFonts w:ascii="Tahoma" w:hAnsi="Tahoma" w:cs="Tahoma"/>
      <w:sz w:val="16"/>
      <w:szCs w:val="16"/>
    </w:rPr>
  </w:style>
  <w:style w:type="paragraph" w:customStyle="1" w:styleId="TLTAppendixText2">
    <w:name w:val="TLT Appendix Text 2"/>
    <w:basedOn w:val="TLTAppendixText1"/>
    <w:next w:val="TLTBodyText2"/>
    <w:rsid w:val="00E245A0"/>
    <w:pPr>
      <w:numPr>
        <w:ilvl w:val="1"/>
      </w:numPr>
    </w:pPr>
  </w:style>
  <w:style w:type="paragraph" w:customStyle="1" w:styleId="TLTBlankDocumentTitle">
    <w:name w:val="TLT Blank Document Title"/>
    <w:basedOn w:val="Normal"/>
    <w:next w:val="TLTBodyText"/>
    <w:link w:val="TLTBlankDocumentTitleChar"/>
    <w:rsid w:val="00E245A0"/>
    <w:pPr>
      <w:spacing w:after="200"/>
      <w:jc w:val="center"/>
    </w:pPr>
    <w:rPr>
      <w:rFonts w:eastAsia="Times New Roman"/>
      <w:b/>
      <w:szCs w:val="24"/>
      <w:lang w:eastAsia="en-GB"/>
    </w:rPr>
  </w:style>
  <w:style w:type="paragraph" w:customStyle="1" w:styleId="TLTAppendixText3">
    <w:name w:val="TLT Appendix Text 3"/>
    <w:basedOn w:val="TLTLevel3"/>
    <w:next w:val="TLTBodyText3"/>
    <w:rsid w:val="00E245A0"/>
    <w:pPr>
      <w:numPr>
        <w:numId w:val="18"/>
      </w:numPr>
    </w:pPr>
  </w:style>
  <w:style w:type="paragraph" w:customStyle="1" w:styleId="TLTAppendixText4">
    <w:name w:val="TLT Appendix Text 4"/>
    <w:basedOn w:val="TLTLevel4"/>
    <w:next w:val="TLTBodyText4"/>
    <w:rsid w:val="00E245A0"/>
    <w:pPr>
      <w:numPr>
        <w:numId w:val="18"/>
      </w:numPr>
    </w:pPr>
  </w:style>
  <w:style w:type="paragraph" w:customStyle="1" w:styleId="TLTAppendixText5">
    <w:name w:val="TLT Appendix Text 5"/>
    <w:basedOn w:val="TLTLevel5"/>
    <w:next w:val="TLTBodyText5"/>
    <w:rsid w:val="00E245A0"/>
    <w:pPr>
      <w:numPr>
        <w:numId w:val="18"/>
      </w:numPr>
    </w:pPr>
  </w:style>
  <w:style w:type="paragraph" w:customStyle="1" w:styleId="TLTLevel1">
    <w:name w:val="TLT Level 1"/>
    <w:basedOn w:val="TLTBodyText"/>
    <w:next w:val="TLTBodyText1"/>
    <w:qFormat/>
    <w:rsid w:val="00CD7ABC"/>
    <w:pPr>
      <w:numPr>
        <w:numId w:val="20"/>
      </w:numPr>
      <w:tabs>
        <w:tab w:val="left" w:pos="720"/>
      </w:tabs>
    </w:pPr>
  </w:style>
  <w:style w:type="paragraph" w:styleId="Footer">
    <w:name w:val="footer"/>
    <w:basedOn w:val="Normal"/>
    <w:link w:val="FooterChar"/>
    <w:uiPriority w:val="99"/>
    <w:rsid w:val="00E245A0"/>
    <w:pPr>
      <w:tabs>
        <w:tab w:val="center" w:pos="4150"/>
        <w:tab w:val="right" w:pos="8307"/>
      </w:tabs>
    </w:pPr>
    <w:rPr>
      <w:sz w:val="16"/>
    </w:rPr>
  </w:style>
  <w:style w:type="paragraph" w:styleId="Header">
    <w:name w:val="header"/>
    <w:basedOn w:val="Normal"/>
    <w:link w:val="HeaderChar"/>
    <w:uiPriority w:val="99"/>
    <w:rsid w:val="00E245A0"/>
    <w:pPr>
      <w:tabs>
        <w:tab w:val="center" w:pos="4150"/>
        <w:tab w:val="right" w:pos="8307"/>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E245A0"/>
    <w:pPr>
      <w:spacing w:before="100"/>
      <w:jc w:val="right"/>
    </w:pPr>
    <w:rPr>
      <w:rFonts w:eastAsia="Times New Roman"/>
      <w:b/>
      <w:szCs w:val="24"/>
      <w:lang w:eastAsia="en-GB"/>
    </w:rPr>
  </w:style>
  <w:style w:type="paragraph" w:customStyle="1" w:styleId="TLTAdditional">
    <w:name w:val="TLT Additional"/>
    <w:basedOn w:val="Normal"/>
    <w:rsid w:val="00E245A0"/>
    <w:pPr>
      <w:spacing w:before="300" w:after="300"/>
    </w:pPr>
    <w:rPr>
      <w:rFonts w:eastAsia="Times New Roman"/>
      <w:b/>
      <w:szCs w:val="24"/>
      <w:lang w:eastAsia="en-GB"/>
    </w:rPr>
  </w:style>
  <w:style w:type="paragraph" w:customStyle="1" w:styleId="TLTAppendixHeading">
    <w:name w:val="TLT Appendix Heading"/>
    <w:basedOn w:val="Normal"/>
    <w:next w:val="TLTAppendixSubHeading"/>
    <w:rsid w:val="00E245A0"/>
    <w:pPr>
      <w:numPr>
        <w:numId w:val="16"/>
      </w:numPr>
      <w:spacing w:before="100" w:after="300"/>
      <w:jc w:val="center"/>
    </w:pPr>
    <w:rPr>
      <w:rFonts w:eastAsia="Times New Roman"/>
      <w:b/>
      <w:szCs w:val="24"/>
      <w:lang w:eastAsia="en-GB"/>
    </w:rPr>
  </w:style>
  <w:style w:type="paragraph" w:customStyle="1" w:styleId="TLTAppendixSubHeading">
    <w:name w:val="TLT Appendix Sub Heading"/>
    <w:basedOn w:val="Normal"/>
    <w:next w:val="TLTBodyText"/>
    <w:rsid w:val="00E245A0"/>
    <w:pPr>
      <w:spacing w:before="100" w:after="300"/>
      <w:jc w:val="center"/>
    </w:pPr>
    <w:rPr>
      <w:rFonts w:eastAsia="Times New Roman"/>
      <w:b/>
      <w:szCs w:val="24"/>
      <w:lang w:eastAsia="en-GB"/>
    </w:rPr>
  </w:style>
  <w:style w:type="paragraph" w:customStyle="1" w:styleId="TLTBodyText">
    <w:name w:val="TLT Body Text"/>
    <w:basedOn w:val="Normal"/>
    <w:qFormat/>
    <w:rsid w:val="00CD7ABC"/>
    <w:pPr>
      <w:spacing w:before="100" w:after="200"/>
    </w:pPr>
    <w:rPr>
      <w:rFonts w:eastAsia="Times New Roman"/>
      <w:szCs w:val="24"/>
      <w:lang w:eastAsia="en-GB"/>
    </w:rPr>
  </w:style>
  <w:style w:type="paragraph" w:customStyle="1" w:styleId="TLTBodyText1">
    <w:name w:val="TLT Body Text 1"/>
    <w:basedOn w:val="TLTBodyText"/>
    <w:rsid w:val="00E245A0"/>
    <w:pPr>
      <w:ind w:left="720"/>
    </w:pPr>
  </w:style>
  <w:style w:type="paragraph" w:customStyle="1" w:styleId="TLTBodyText2">
    <w:name w:val="TLT Body Text 2"/>
    <w:basedOn w:val="TLTBodyText1"/>
    <w:rsid w:val="00E245A0"/>
  </w:style>
  <w:style w:type="paragraph" w:customStyle="1" w:styleId="TLTBodyText3">
    <w:name w:val="TLT Body Text 3"/>
    <w:basedOn w:val="TLTBodyText2"/>
    <w:rsid w:val="00E245A0"/>
    <w:pPr>
      <w:ind w:left="1803"/>
    </w:pPr>
  </w:style>
  <w:style w:type="paragraph" w:customStyle="1" w:styleId="TLTBodyText4">
    <w:name w:val="TLT Body Text 4"/>
    <w:basedOn w:val="TLTBodyText3"/>
    <w:rsid w:val="00E245A0"/>
  </w:style>
  <w:style w:type="paragraph" w:customStyle="1" w:styleId="TLTBodyText5">
    <w:name w:val="TLT Body Text 5"/>
    <w:basedOn w:val="TLTBodyText4"/>
    <w:rsid w:val="00E245A0"/>
    <w:pPr>
      <w:ind w:left="2523"/>
    </w:pPr>
  </w:style>
  <w:style w:type="paragraph" w:customStyle="1" w:styleId="TLTBodyTextBold">
    <w:name w:val="TLT Body Text Bold"/>
    <w:basedOn w:val="Normal"/>
    <w:next w:val="TLTBodyText"/>
    <w:link w:val="TLTBodyTextBoldChar"/>
    <w:qFormat/>
    <w:rsid w:val="00CD7ABC"/>
    <w:pPr>
      <w:spacing w:before="100" w:after="200"/>
    </w:pPr>
    <w:rPr>
      <w:rFonts w:eastAsia="Times New Roman"/>
      <w:b/>
      <w:szCs w:val="24"/>
      <w:lang w:eastAsia="en-GB"/>
    </w:rPr>
  </w:style>
  <w:style w:type="paragraph" w:customStyle="1" w:styleId="TLTCentered">
    <w:name w:val="TLT Centered"/>
    <w:basedOn w:val="Normal"/>
    <w:next w:val="TLTBodyText"/>
    <w:rsid w:val="00E245A0"/>
    <w:pPr>
      <w:spacing w:before="100" w:after="200"/>
      <w:jc w:val="center"/>
    </w:pPr>
    <w:rPr>
      <w:rFonts w:eastAsia="Times New Roman"/>
      <w:szCs w:val="24"/>
      <w:lang w:eastAsia="en-GB"/>
    </w:rPr>
  </w:style>
  <w:style w:type="paragraph" w:customStyle="1" w:styleId="TLTCentre">
    <w:name w:val="TLT Centre"/>
    <w:basedOn w:val="Normal"/>
    <w:next w:val="TLTCourtParties"/>
    <w:rsid w:val="00E245A0"/>
    <w:pPr>
      <w:spacing w:before="100" w:after="600"/>
      <w:jc w:val="center"/>
    </w:pPr>
    <w:rPr>
      <w:rFonts w:eastAsia="Times New Roman"/>
      <w:szCs w:val="24"/>
      <w:lang w:eastAsia="en-GB"/>
    </w:rPr>
  </w:style>
  <w:style w:type="paragraph" w:customStyle="1" w:styleId="TLTCentreBack">
    <w:name w:val="TLT Centre Back"/>
    <w:basedOn w:val="Normal"/>
    <w:next w:val="TLTCourtPartiesBack"/>
    <w:rsid w:val="00E245A0"/>
    <w:pPr>
      <w:spacing w:before="100" w:after="600"/>
    </w:pPr>
    <w:rPr>
      <w:rFonts w:eastAsia="Times New Roman"/>
      <w:szCs w:val="24"/>
      <w:lang w:eastAsia="en-GB"/>
    </w:rPr>
  </w:style>
  <w:style w:type="paragraph" w:customStyle="1" w:styleId="TLTContentsHeading">
    <w:name w:val="TLT Contents Heading"/>
    <w:basedOn w:val="Normal"/>
    <w:next w:val="TLTContentsSubHeading"/>
    <w:rsid w:val="00E245A0"/>
    <w:pPr>
      <w:spacing w:before="100" w:after="200"/>
      <w:jc w:val="center"/>
    </w:pPr>
    <w:rPr>
      <w:rFonts w:eastAsia="Times New Roman"/>
      <w:b/>
      <w:szCs w:val="24"/>
      <w:lang w:eastAsia="en-GB"/>
    </w:rPr>
  </w:style>
  <w:style w:type="paragraph" w:customStyle="1" w:styleId="TLTContentsSubHeading">
    <w:name w:val="TLT Contents Sub Heading"/>
    <w:basedOn w:val="Normal"/>
    <w:next w:val="TLTBodyText"/>
    <w:rsid w:val="00E245A0"/>
    <w:pPr>
      <w:spacing w:before="400" w:after="200"/>
    </w:pPr>
    <w:rPr>
      <w:rFonts w:eastAsia="Times New Roman"/>
      <w:b/>
      <w:szCs w:val="24"/>
      <w:lang w:eastAsia="en-GB"/>
    </w:rPr>
  </w:style>
  <w:style w:type="paragraph" w:customStyle="1" w:styleId="TLTCourtDetails">
    <w:name w:val="TLT Court Details"/>
    <w:basedOn w:val="Normal"/>
    <w:rsid w:val="00E245A0"/>
    <w:pPr>
      <w:spacing w:before="100" w:after="200"/>
    </w:pPr>
    <w:rPr>
      <w:rFonts w:eastAsia="Times New Roman"/>
      <w:b/>
      <w:caps/>
      <w:szCs w:val="24"/>
      <w:lang w:eastAsia="en-GB"/>
    </w:rPr>
  </w:style>
  <w:style w:type="paragraph" w:customStyle="1" w:styleId="TLTCourtHeading">
    <w:name w:val="TLT Court Heading"/>
    <w:basedOn w:val="Normal"/>
    <w:rsid w:val="00E245A0"/>
    <w:pPr>
      <w:spacing w:before="100" w:after="200"/>
      <w:jc w:val="center"/>
    </w:pPr>
    <w:rPr>
      <w:rFonts w:eastAsia="Times New Roman"/>
      <w:b/>
      <w:caps/>
      <w:szCs w:val="24"/>
      <w:lang w:eastAsia="en-GB"/>
    </w:rPr>
  </w:style>
  <w:style w:type="paragraph" w:customStyle="1" w:styleId="TLTCourtParties">
    <w:name w:val="TLT Court Parties"/>
    <w:basedOn w:val="Normal"/>
    <w:next w:val="TLTLitigant"/>
    <w:rsid w:val="00E245A0"/>
    <w:pPr>
      <w:spacing w:before="100" w:after="200"/>
      <w:jc w:val="center"/>
    </w:pPr>
    <w:rPr>
      <w:rFonts w:eastAsia="Times New Roman"/>
      <w:b/>
      <w:caps/>
      <w:szCs w:val="24"/>
      <w:lang w:eastAsia="en-GB"/>
    </w:rPr>
  </w:style>
  <w:style w:type="paragraph" w:customStyle="1" w:styleId="TLTCourtPartiesBack">
    <w:name w:val="TLT Court Parties Back"/>
    <w:basedOn w:val="Normal"/>
    <w:next w:val="TLTLitigant"/>
    <w:rsid w:val="00E245A0"/>
    <w:pPr>
      <w:spacing w:before="100" w:after="200"/>
    </w:pPr>
    <w:rPr>
      <w:rFonts w:eastAsia="Times New Roman"/>
      <w:b/>
      <w:caps/>
      <w:szCs w:val="24"/>
      <w:lang w:eastAsia="en-GB"/>
    </w:rPr>
  </w:style>
  <w:style w:type="paragraph" w:customStyle="1" w:styleId="TLTCourtReference">
    <w:name w:val="TLT Court Reference"/>
    <w:basedOn w:val="Normal"/>
    <w:next w:val="TLTCourtDetails"/>
    <w:rsid w:val="00E245A0"/>
    <w:pPr>
      <w:spacing w:before="100" w:after="200"/>
      <w:jc w:val="right"/>
    </w:pPr>
    <w:rPr>
      <w:rFonts w:eastAsia="Times New Roman"/>
      <w:b/>
      <w:caps/>
      <w:szCs w:val="24"/>
      <w:lang w:eastAsia="en-GB"/>
    </w:rPr>
  </w:style>
  <w:style w:type="paragraph" w:customStyle="1" w:styleId="TLTCoverDetails">
    <w:name w:val="TLT Cover Details"/>
    <w:basedOn w:val="Normal"/>
    <w:rsid w:val="00E245A0"/>
    <w:pPr>
      <w:tabs>
        <w:tab w:val="left" w:pos="3612"/>
      </w:tabs>
      <w:spacing w:before="100" w:after="200"/>
    </w:pPr>
    <w:rPr>
      <w:rFonts w:eastAsia="Times New Roman"/>
      <w:szCs w:val="24"/>
      <w:lang w:eastAsia="en-GB"/>
    </w:rPr>
  </w:style>
  <w:style w:type="paragraph" w:customStyle="1" w:styleId="TLTDefinitionList">
    <w:name w:val="TLT Definition List"/>
    <w:basedOn w:val="Normal"/>
    <w:rsid w:val="00E245A0"/>
    <w:pPr>
      <w:numPr>
        <w:numId w:val="15"/>
      </w:numPr>
      <w:spacing w:before="100" w:after="200"/>
    </w:pPr>
    <w:rPr>
      <w:rFonts w:eastAsia="Times New Roman"/>
      <w:szCs w:val="24"/>
      <w:lang w:eastAsia="en-GB"/>
    </w:rPr>
  </w:style>
  <w:style w:type="paragraph" w:customStyle="1" w:styleId="TLTDelivery">
    <w:name w:val="TLT Delivery"/>
    <w:basedOn w:val="Normal"/>
    <w:rsid w:val="00E245A0"/>
    <w:pPr>
      <w:spacing w:before="600" w:after="400"/>
    </w:pPr>
    <w:rPr>
      <w:rFonts w:eastAsia="Times New Roman"/>
      <w:b/>
      <w:szCs w:val="24"/>
      <w:lang w:eastAsia="en-GB"/>
    </w:rPr>
  </w:style>
  <w:style w:type="paragraph" w:customStyle="1" w:styleId="TLTDetails">
    <w:name w:val="TLT Details"/>
    <w:basedOn w:val="Normal"/>
    <w:rsid w:val="00E245A0"/>
    <w:pPr>
      <w:spacing w:line="300" w:lineRule="exact"/>
    </w:pPr>
    <w:rPr>
      <w:rFonts w:eastAsia="Times New Roman"/>
      <w:szCs w:val="24"/>
      <w:lang w:eastAsia="en-GB"/>
    </w:rPr>
  </w:style>
  <w:style w:type="paragraph" w:customStyle="1" w:styleId="TLTDocRef">
    <w:name w:val="TLT Doc Ref"/>
    <w:basedOn w:val="Normal"/>
    <w:rsid w:val="00E245A0"/>
    <w:rPr>
      <w:rFonts w:eastAsia="Times New Roman"/>
      <w:sz w:val="12"/>
      <w:szCs w:val="24"/>
      <w:lang w:eastAsia="en-GB"/>
    </w:rPr>
  </w:style>
  <w:style w:type="paragraph" w:customStyle="1" w:styleId="TLTEnc">
    <w:name w:val="TLT Enc"/>
    <w:basedOn w:val="Normal"/>
    <w:rsid w:val="00E245A0"/>
    <w:pPr>
      <w:tabs>
        <w:tab w:val="left" w:pos="720"/>
      </w:tabs>
    </w:pPr>
    <w:rPr>
      <w:rFonts w:eastAsia="Times New Roman"/>
      <w:szCs w:val="24"/>
      <w:lang w:eastAsia="en-GB"/>
    </w:rPr>
  </w:style>
  <w:style w:type="paragraph" w:customStyle="1" w:styleId="TLTExecution">
    <w:name w:val="TLT Execution"/>
    <w:basedOn w:val="Normal"/>
    <w:rsid w:val="00E245A0"/>
    <w:pPr>
      <w:spacing w:before="100" w:after="200"/>
    </w:pPr>
    <w:rPr>
      <w:rFonts w:eastAsia="Times New Roman"/>
      <w:sz w:val="16"/>
      <w:szCs w:val="24"/>
      <w:lang w:eastAsia="en-GB"/>
    </w:rPr>
  </w:style>
  <w:style w:type="paragraph" w:customStyle="1" w:styleId="TLTFaxStatus">
    <w:name w:val="TLT Fax Status"/>
    <w:basedOn w:val="Normal"/>
    <w:rsid w:val="00E245A0"/>
    <w:pPr>
      <w:spacing w:before="200"/>
    </w:pPr>
    <w:rPr>
      <w:rFonts w:eastAsia="Times New Roman"/>
      <w:b/>
      <w:szCs w:val="24"/>
      <w:lang w:eastAsia="en-GB"/>
    </w:rPr>
  </w:style>
  <w:style w:type="paragraph" w:customStyle="1" w:styleId="TLTFaxSubject">
    <w:name w:val="TLT Fax Subject"/>
    <w:basedOn w:val="Normal"/>
    <w:rsid w:val="00E245A0"/>
    <w:pPr>
      <w:spacing w:before="200"/>
    </w:pPr>
    <w:rPr>
      <w:rFonts w:eastAsia="Times New Roman"/>
      <w:b/>
      <w:szCs w:val="24"/>
      <w:lang w:eastAsia="en-GB"/>
    </w:rPr>
  </w:style>
  <w:style w:type="paragraph" w:customStyle="1" w:styleId="TLTHeading1">
    <w:name w:val="TLT Heading 1"/>
    <w:basedOn w:val="Normal"/>
    <w:next w:val="TLTBodyText"/>
    <w:rsid w:val="00E245A0"/>
    <w:pPr>
      <w:keepNext/>
      <w:spacing w:before="300" w:after="100"/>
    </w:pPr>
    <w:rPr>
      <w:rFonts w:eastAsia="Times New Roman"/>
      <w:b/>
      <w:szCs w:val="24"/>
      <w:lang w:eastAsia="en-GB"/>
    </w:rPr>
  </w:style>
  <w:style w:type="paragraph" w:customStyle="1" w:styleId="TLTHeading2">
    <w:name w:val="TLT Heading 2"/>
    <w:basedOn w:val="Normal"/>
    <w:next w:val="TLTBodyText"/>
    <w:rsid w:val="00E245A0"/>
    <w:pPr>
      <w:keepNext/>
      <w:spacing w:before="100" w:after="200"/>
    </w:pPr>
    <w:rPr>
      <w:rFonts w:eastAsia="Times New Roman"/>
      <w:i/>
      <w:szCs w:val="24"/>
      <w:lang w:eastAsia="en-GB"/>
    </w:rPr>
  </w:style>
  <w:style w:type="paragraph" w:customStyle="1" w:styleId="TLTLegalReportHeading">
    <w:name w:val="TLT Legal Report Heading"/>
    <w:basedOn w:val="Normal"/>
    <w:next w:val="TLTBodyText"/>
    <w:rsid w:val="00E245A0"/>
    <w:pPr>
      <w:spacing w:before="100" w:after="200"/>
      <w:jc w:val="center"/>
    </w:pPr>
    <w:rPr>
      <w:rFonts w:eastAsia="Times New Roman"/>
      <w:b/>
      <w:szCs w:val="24"/>
      <w:lang w:eastAsia="en-GB"/>
    </w:rPr>
  </w:style>
  <w:style w:type="paragraph" w:customStyle="1" w:styleId="TLTLetterTitle">
    <w:name w:val="TLT Letter Title"/>
    <w:basedOn w:val="Normal"/>
    <w:next w:val="TLTBodyText"/>
    <w:rsid w:val="00E245A0"/>
    <w:pPr>
      <w:spacing w:before="100" w:after="200"/>
    </w:pPr>
    <w:rPr>
      <w:rFonts w:eastAsia="Times New Roman"/>
      <w:b/>
      <w:szCs w:val="24"/>
      <w:lang w:eastAsia="en-GB"/>
    </w:rPr>
  </w:style>
  <w:style w:type="paragraph" w:customStyle="1" w:styleId="TLTLevel2">
    <w:name w:val="TLT Level 2"/>
    <w:basedOn w:val="TLTLevel1"/>
    <w:next w:val="TLTBodyText2"/>
    <w:rsid w:val="00E245A0"/>
    <w:pPr>
      <w:numPr>
        <w:ilvl w:val="1"/>
      </w:numPr>
    </w:pPr>
  </w:style>
  <w:style w:type="paragraph" w:customStyle="1" w:styleId="TLTLevel3">
    <w:name w:val="TLT Level 3"/>
    <w:basedOn w:val="TLTLevel2"/>
    <w:next w:val="TLTBodyText3"/>
    <w:link w:val="TLTLevel3Char"/>
    <w:rsid w:val="00E245A0"/>
    <w:pPr>
      <w:numPr>
        <w:ilvl w:val="2"/>
      </w:numPr>
      <w:tabs>
        <w:tab w:val="left" w:pos="1803"/>
      </w:tabs>
    </w:pPr>
  </w:style>
  <w:style w:type="character" w:styleId="Hyperlink">
    <w:name w:val="Hyperlink"/>
    <w:uiPriority w:val="99"/>
    <w:unhideWhenUsed/>
    <w:rsid w:val="00E245A0"/>
    <w:rPr>
      <w:color w:val="FD6631"/>
      <w:u w:val="single"/>
    </w:rPr>
  </w:style>
  <w:style w:type="paragraph" w:customStyle="1" w:styleId="TLTLevel4">
    <w:name w:val="TLT Level 4"/>
    <w:basedOn w:val="TLTLevel3"/>
    <w:next w:val="TLTBodyText4"/>
    <w:rsid w:val="00E245A0"/>
    <w:pPr>
      <w:numPr>
        <w:ilvl w:val="3"/>
      </w:numPr>
    </w:pPr>
  </w:style>
  <w:style w:type="paragraph" w:customStyle="1" w:styleId="TLTLevel5">
    <w:name w:val="TLT Level 5"/>
    <w:basedOn w:val="TLTLevel4"/>
    <w:next w:val="TLTBodyText5"/>
    <w:rsid w:val="00E245A0"/>
    <w:pPr>
      <w:numPr>
        <w:ilvl w:val="4"/>
      </w:numPr>
      <w:tabs>
        <w:tab w:val="left" w:pos="2523"/>
      </w:tabs>
    </w:pPr>
  </w:style>
  <w:style w:type="paragraph" w:customStyle="1" w:styleId="TLTAddress">
    <w:name w:val="TLT Address"/>
    <w:basedOn w:val="Normal"/>
    <w:rsid w:val="00E245A0"/>
    <w:rPr>
      <w:rFonts w:eastAsia="Times New Roman"/>
      <w:szCs w:val="24"/>
      <w:lang w:eastAsia="en-GB"/>
    </w:rPr>
  </w:style>
  <w:style w:type="character" w:customStyle="1" w:styleId="TLTBodyTextBoldChar">
    <w:name w:val="TLT Body Text Bold Char"/>
    <w:basedOn w:val="DefaultParagraphFont"/>
    <w:link w:val="TLTBodyTextBold"/>
    <w:rsid w:val="00CD7ABC"/>
    <w:rPr>
      <w:rFonts w:eastAsia="Times New Roman"/>
      <w:b/>
      <w:szCs w:val="24"/>
    </w:rPr>
  </w:style>
  <w:style w:type="paragraph" w:customStyle="1" w:styleId="TLTLitigant">
    <w:name w:val="TLT Litigant"/>
    <w:basedOn w:val="Normal"/>
    <w:next w:val="TLTCentre"/>
    <w:rsid w:val="00E245A0"/>
    <w:pPr>
      <w:spacing w:before="100" w:after="200"/>
      <w:jc w:val="right"/>
    </w:pPr>
    <w:rPr>
      <w:rFonts w:eastAsia="Times New Roman"/>
      <w:szCs w:val="24"/>
      <w:lang w:eastAsia="en-GB"/>
    </w:rPr>
  </w:style>
  <w:style w:type="paragraph" w:customStyle="1" w:styleId="TLTLLP">
    <w:name w:val="TLT LLP"/>
    <w:basedOn w:val="Normal"/>
    <w:next w:val="TLTEnc"/>
    <w:rsid w:val="00E245A0"/>
    <w:pPr>
      <w:spacing w:after="200"/>
    </w:pPr>
    <w:rPr>
      <w:rFonts w:eastAsia="Times New Roman"/>
      <w:szCs w:val="24"/>
      <w:lang w:eastAsia="en-GB"/>
    </w:rPr>
  </w:style>
  <w:style w:type="paragraph" w:customStyle="1" w:styleId="TLTLPC">
    <w:name w:val="TLT LPC"/>
    <w:basedOn w:val="Normal"/>
    <w:next w:val="TLTBodyText"/>
    <w:rsid w:val="00E245A0"/>
    <w:pPr>
      <w:spacing w:before="100" w:after="200"/>
    </w:pPr>
    <w:rPr>
      <w:rFonts w:eastAsia="Times New Roman"/>
      <w:sz w:val="24"/>
      <w:szCs w:val="24"/>
      <w:lang w:eastAsia="en-GB"/>
    </w:rPr>
  </w:style>
  <w:style w:type="paragraph" w:customStyle="1" w:styleId="TLTPartHeading">
    <w:name w:val="TLT Part Heading"/>
    <w:basedOn w:val="Normal"/>
    <w:next w:val="TLTBodyText"/>
    <w:rsid w:val="00E245A0"/>
    <w:pPr>
      <w:spacing w:after="200"/>
    </w:pPr>
    <w:rPr>
      <w:rFonts w:eastAsia="Times New Roman"/>
      <w:b/>
      <w:szCs w:val="24"/>
      <w:lang w:eastAsia="en-GB"/>
    </w:rPr>
  </w:style>
  <w:style w:type="paragraph" w:customStyle="1" w:styleId="TLTPartiesBodyText">
    <w:name w:val="TLT Parties Body Text"/>
    <w:basedOn w:val="Normal"/>
    <w:rsid w:val="00E245A0"/>
    <w:pPr>
      <w:numPr>
        <w:numId w:val="2"/>
      </w:numPr>
      <w:spacing w:before="100" w:after="200"/>
    </w:pPr>
    <w:rPr>
      <w:rFonts w:eastAsia="Times New Roman"/>
      <w:szCs w:val="24"/>
      <w:lang w:eastAsia="en-GB"/>
    </w:rPr>
  </w:style>
  <w:style w:type="paragraph" w:customStyle="1" w:styleId="TLTPartiesFrontSheet">
    <w:name w:val="TLT Parties Front Sheet"/>
    <w:basedOn w:val="Normal"/>
    <w:rsid w:val="00E245A0"/>
    <w:pPr>
      <w:numPr>
        <w:numId w:val="3"/>
      </w:numPr>
    </w:pPr>
    <w:rPr>
      <w:rFonts w:eastAsia="Times New Roman"/>
      <w:szCs w:val="24"/>
      <w:lang w:eastAsia="en-GB"/>
    </w:rPr>
  </w:style>
  <w:style w:type="paragraph" w:customStyle="1" w:styleId="TLTRecitals">
    <w:name w:val="TLT Recitals"/>
    <w:basedOn w:val="Normal"/>
    <w:rsid w:val="00E245A0"/>
    <w:pPr>
      <w:numPr>
        <w:numId w:val="4"/>
      </w:numPr>
      <w:spacing w:before="100" w:after="200"/>
    </w:pPr>
    <w:rPr>
      <w:rFonts w:eastAsia="Times New Roman"/>
      <w:szCs w:val="24"/>
      <w:lang w:eastAsia="en-GB"/>
    </w:rPr>
  </w:style>
  <w:style w:type="paragraph" w:customStyle="1" w:styleId="TLTReference">
    <w:name w:val="TLT Reference"/>
    <w:basedOn w:val="Normal"/>
    <w:rsid w:val="00E245A0"/>
    <w:pPr>
      <w:tabs>
        <w:tab w:val="left" w:pos="1077"/>
      </w:tabs>
    </w:pPr>
    <w:rPr>
      <w:rFonts w:eastAsia="Times New Roman"/>
      <w:sz w:val="16"/>
      <w:szCs w:val="24"/>
      <w:lang w:eastAsia="en-GB"/>
    </w:rPr>
  </w:style>
  <w:style w:type="paragraph" w:customStyle="1" w:styleId="TLTScheduleHeading">
    <w:name w:val="TLT Schedule Heading"/>
    <w:basedOn w:val="Normal"/>
    <w:next w:val="TLTScheduleSubHeading"/>
    <w:rsid w:val="00E245A0"/>
    <w:pPr>
      <w:numPr>
        <w:numId w:val="11"/>
      </w:numPr>
      <w:spacing w:before="100" w:after="300"/>
      <w:jc w:val="center"/>
    </w:pPr>
    <w:rPr>
      <w:rFonts w:eastAsia="Times New Roman"/>
      <w:b/>
      <w:szCs w:val="24"/>
      <w:lang w:eastAsia="en-GB"/>
    </w:rPr>
  </w:style>
  <w:style w:type="paragraph" w:customStyle="1" w:styleId="TLTScheduleSubHeading">
    <w:name w:val="TLT Schedule Sub Heading"/>
    <w:basedOn w:val="Normal"/>
    <w:next w:val="TLTPartHeading"/>
    <w:rsid w:val="00E245A0"/>
    <w:pPr>
      <w:spacing w:before="100" w:after="300"/>
      <w:jc w:val="center"/>
    </w:pPr>
    <w:rPr>
      <w:rFonts w:eastAsia="Times New Roman"/>
      <w:b/>
      <w:szCs w:val="24"/>
      <w:lang w:eastAsia="en-GB"/>
    </w:rPr>
  </w:style>
  <w:style w:type="paragraph" w:customStyle="1" w:styleId="TLTScheduleText1">
    <w:name w:val="TLT Schedule Text 1"/>
    <w:basedOn w:val="Normal"/>
    <w:next w:val="TLTBodyText1"/>
    <w:rsid w:val="00E245A0"/>
    <w:pPr>
      <w:numPr>
        <w:numId w:val="19"/>
      </w:numPr>
      <w:spacing w:before="100" w:after="200"/>
    </w:pPr>
    <w:rPr>
      <w:rFonts w:eastAsia="Times New Roman"/>
      <w:szCs w:val="24"/>
      <w:lang w:eastAsia="en-GB"/>
    </w:rPr>
  </w:style>
  <w:style w:type="paragraph" w:customStyle="1" w:styleId="TLTScheduleText2">
    <w:name w:val="TLT Schedule Text 2"/>
    <w:basedOn w:val="TLTScheduleText1"/>
    <w:next w:val="TLTBodyText2"/>
    <w:rsid w:val="00E245A0"/>
    <w:pPr>
      <w:numPr>
        <w:ilvl w:val="1"/>
      </w:numPr>
    </w:pPr>
  </w:style>
  <w:style w:type="paragraph" w:customStyle="1" w:styleId="TLTScheduleText3">
    <w:name w:val="TLT Schedule Text 3"/>
    <w:basedOn w:val="TLTLevel3"/>
    <w:next w:val="TLTBodyText3"/>
    <w:rsid w:val="00E245A0"/>
    <w:pPr>
      <w:numPr>
        <w:numId w:val="19"/>
      </w:numPr>
    </w:pPr>
  </w:style>
  <w:style w:type="paragraph" w:customStyle="1" w:styleId="TLTScheduleText4">
    <w:name w:val="TLT Schedule Text 4"/>
    <w:basedOn w:val="TLTLevel4"/>
    <w:next w:val="TLTBodyText4"/>
    <w:rsid w:val="00E245A0"/>
    <w:pPr>
      <w:numPr>
        <w:numId w:val="19"/>
      </w:numPr>
    </w:pPr>
  </w:style>
  <w:style w:type="paragraph" w:customStyle="1" w:styleId="TLTScheduleText5">
    <w:name w:val="TLT Schedule Text 5"/>
    <w:basedOn w:val="TLTLevel5"/>
    <w:next w:val="TLTBodyText5"/>
    <w:rsid w:val="00E245A0"/>
    <w:pPr>
      <w:numPr>
        <w:numId w:val="19"/>
      </w:numPr>
    </w:pPr>
  </w:style>
  <w:style w:type="paragraph" w:customStyle="1" w:styleId="TLTSetInformation">
    <w:name w:val="TLT Set Information"/>
    <w:basedOn w:val="Normal"/>
    <w:rsid w:val="00E245A0"/>
    <w:pPr>
      <w:spacing w:line="300" w:lineRule="exact"/>
    </w:pPr>
    <w:rPr>
      <w:rFonts w:eastAsia="Times New Roman"/>
      <w:sz w:val="16"/>
      <w:szCs w:val="24"/>
      <w:lang w:eastAsia="en-GB"/>
    </w:rPr>
  </w:style>
  <w:style w:type="paragraph" w:customStyle="1" w:styleId="TLTSignature">
    <w:name w:val="TLT Signature"/>
    <w:basedOn w:val="Normal"/>
    <w:rsid w:val="00E245A0"/>
    <w:rPr>
      <w:rFonts w:eastAsia="Times New Roman"/>
      <w:b/>
      <w:szCs w:val="24"/>
      <w:lang w:eastAsia="en-GB"/>
    </w:rPr>
  </w:style>
  <w:style w:type="paragraph" w:customStyle="1" w:styleId="TLTStatus">
    <w:name w:val="TLT Status"/>
    <w:basedOn w:val="Normal"/>
    <w:next w:val="TLTBodyText"/>
    <w:rsid w:val="00E245A0"/>
    <w:pPr>
      <w:spacing w:before="200" w:after="400"/>
    </w:pPr>
    <w:rPr>
      <w:rFonts w:eastAsia="Times New Roman"/>
      <w:b/>
      <w:szCs w:val="24"/>
      <w:lang w:eastAsia="en-GB"/>
    </w:rPr>
  </w:style>
  <w:style w:type="paragraph" w:customStyle="1" w:styleId="TLTSubTitle">
    <w:name w:val="TLT Sub Title"/>
    <w:basedOn w:val="Normal"/>
    <w:rsid w:val="00E245A0"/>
    <w:pPr>
      <w:spacing w:before="100" w:after="200"/>
    </w:pPr>
    <w:rPr>
      <w:rFonts w:eastAsia="Times New Roman"/>
      <w:sz w:val="28"/>
      <w:szCs w:val="24"/>
      <w:lang w:eastAsia="en-GB"/>
    </w:rPr>
  </w:style>
  <w:style w:type="paragraph" w:customStyle="1" w:styleId="TLTSubject">
    <w:name w:val="TLT Subject"/>
    <w:basedOn w:val="Normal"/>
    <w:rsid w:val="00E245A0"/>
    <w:pPr>
      <w:spacing w:before="400" w:after="300"/>
    </w:pPr>
    <w:rPr>
      <w:rFonts w:eastAsia="Times New Roman"/>
      <w:b/>
      <w:szCs w:val="24"/>
      <w:lang w:eastAsia="en-GB"/>
    </w:rPr>
  </w:style>
  <w:style w:type="paragraph" w:customStyle="1" w:styleId="TLTTemplate">
    <w:name w:val="TLT Template"/>
    <w:basedOn w:val="Normal"/>
    <w:rsid w:val="00E245A0"/>
    <w:pPr>
      <w:spacing w:before="500" w:after="400"/>
    </w:pPr>
    <w:rPr>
      <w:rFonts w:eastAsia="Times New Roman"/>
      <w:b/>
      <w:sz w:val="36"/>
      <w:szCs w:val="24"/>
      <w:lang w:eastAsia="en-GB"/>
    </w:rPr>
  </w:style>
  <w:style w:type="paragraph" w:customStyle="1" w:styleId="TLTTitle">
    <w:name w:val="TLT Title"/>
    <w:basedOn w:val="Normal"/>
    <w:rsid w:val="00E245A0"/>
    <w:pPr>
      <w:spacing w:before="100" w:after="200"/>
    </w:pPr>
    <w:rPr>
      <w:rFonts w:eastAsia="Times New Roman"/>
      <w:b/>
      <w:sz w:val="36"/>
      <w:szCs w:val="24"/>
      <w:lang w:eastAsia="en-GB"/>
    </w:rPr>
  </w:style>
  <w:style w:type="paragraph" w:styleId="TOC1">
    <w:name w:val="toc 1"/>
    <w:basedOn w:val="Normal"/>
    <w:next w:val="Normal"/>
    <w:autoRedefine/>
    <w:uiPriority w:val="39"/>
    <w:unhideWhenUsed/>
    <w:rsid w:val="00E245A0"/>
    <w:pPr>
      <w:tabs>
        <w:tab w:val="right" w:leader="dot" w:pos="8448"/>
      </w:tabs>
    </w:pPr>
    <w:rPr>
      <w:rFonts w:eastAsia="Times New Roman"/>
      <w:szCs w:val="24"/>
      <w:lang w:eastAsia="en-GB"/>
    </w:rPr>
  </w:style>
  <w:style w:type="paragraph" w:customStyle="1" w:styleId="TLTBulletsBody">
    <w:name w:val="TLT Bullets Body"/>
    <w:basedOn w:val="TLTBodyText"/>
    <w:rsid w:val="00E245A0"/>
    <w:pPr>
      <w:numPr>
        <w:numId w:val="17"/>
      </w:numPr>
    </w:pPr>
  </w:style>
  <w:style w:type="paragraph" w:styleId="TOC2">
    <w:name w:val="toc 2"/>
    <w:basedOn w:val="Normal"/>
    <w:next w:val="Normal"/>
    <w:autoRedefine/>
    <w:uiPriority w:val="39"/>
    <w:unhideWhenUsed/>
    <w:rsid w:val="00E245A0"/>
    <w:pPr>
      <w:numPr>
        <w:numId w:val="5"/>
      </w:numPr>
      <w:tabs>
        <w:tab w:val="right" w:leader="dot" w:pos="8448"/>
      </w:tabs>
    </w:pPr>
    <w:rPr>
      <w:rFonts w:eastAsia="Times New Roman"/>
      <w:szCs w:val="24"/>
      <w:lang w:eastAsia="en-GB"/>
    </w:rPr>
  </w:style>
  <w:style w:type="paragraph" w:customStyle="1" w:styleId="TLTBulletsLevel1">
    <w:name w:val="TLT Bullets Level 1"/>
    <w:basedOn w:val="TLTBodyText1"/>
    <w:rsid w:val="00E245A0"/>
    <w:pPr>
      <w:numPr>
        <w:ilvl w:val="1"/>
        <w:numId w:val="17"/>
      </w:numPr>
      <w:tabs>
        <w:tab w:val="left" w:pos="1797"/>
      </w:tabs>
    </w:pPr>
  </w:style>
  <w:style w:type="paragraph" w:styleId="TOC3">
    <w:name w:val="toc 3"/>
    <w:basedOn w:val="Normal"/>
    <w:next w:val="Normal"/>
    <w:autoRedefine/>
    <w:uiPriority w:val="39"/>
    <w:unhideWhenUsed/>
    <w:rsid w:val="00E245A0"/>
    <w:pPr>
      <w:numPr>
        <w:numId w:val="6"/>
      </w:numPr>
      <w:tabs>
        <w:tab w:val="right" w:leader="dot" w:pos="8448"/>
      </w:tabs>
    </w:pPr>
    <w:rPr>
      <w:rFonts w:eastAsia="Times New Roman"/>
      <w:szCs w:val="24"/>
      <w:lang w:eastAsia="en-GB"/>
    </w:rPr>
  </w:style>
  <w:style w:type="paragraph" w:customStyle="1" w:styleId="TLTFAO">
    <w:name w:val="TLT FAO"/>
    <w:basedOn w:val="TLTAddress"/>
    <w:rsid w:val="00E245A0"/>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ascii="Arial" w:hAnsi="Arial"/>
      <w:b/>
      <w:szCs w:val="24"/>
    </w:rPr>
  </w:style>
  <w:style w:type="character" w:customStyle="1" w:styleId="TLTLevel3Char">
    <w:name w:val="TLT Level 3 Char"/>
    <w:link w:val="TLTLevel3"/>
    <w:rsid w:val="008F302C"/>
    <w:rPr>
      <w:rFonts w:ascii="Arial" w:hAnsi="Arial"/>
      <w:szCs w:val="24"/>
    </w:rPr>
  </w:style>
  <w:style w:type="table" w:styleId="DarkList-Accent1">
    <w:name w:val="Dark List Accent 1"/>
    <w:basedOn w:val="TableNormal"/>
    <w:uiPriority w:val="70"/>
    <w:rsid w:val="00E245A0"/>
    <w:rPr>
      <w:rFonts w:eastAsia="Arial"/>
      <w:color w:val="FFFFFF"/>
      <w:lang w:eastAsia="en-US"/>
    </w:rPr>
    <w:tblPr>
      <w:tblStyleRowBandSize w:val="1"/>
      <w:tblStyleColBandSize w:val="1"/>
      <w:tblInd w:w="0" w:type="dxa"/>
      <w:tblCellMar>
        <w:top w:w="0" w:type="dxa"/>
        <w:left w:w="108" w:type="dxa"/>
        <w:bottom w:w="0" w:type="dxa"/>
        <w:right w:w="108" w:type="dxa"/>
      </w:tblCellMar>
    </w:tblPr>
    <w:tcPr>
      <w:shd w:val="clear" w:color="auto" w:fill="97233F"/>
    </w:tcPr>
    <w:tblStylePr w:type="firstRow">
      <w:rPr>
        <w:b/>
        <w:bCs/>
      </w:rPr>
      <w:tblPr/>
      <w:tcPr>
        <w:tcBorders>
          <w:top w:val="nil"/>
          <w:left w:val="nil"/>
          <w:bottom w:val="single" w:sz="18" w:space="0" w:color="FFFFFF"/>
          <w:right w:val="nil"/>
          <w:insideH w:val="nil"/>
          <w:insideV w:val="nil"/>
        </w:tcBorders>
        <w:shd w:val="clear" w:color="auto" w:fill="264152"/>
      </w:tcPr>
    </w:tblStylePr>
    <w:tblStylePr w:type="lastRow">
      <w:tblPr/>
      <w:tcPr>
        <w:tcBorders>
          <w:top w:val="single" w:sz="18" w:space="0" w:color="FFFFFF"/>
          <w:left w:val="nil"/>
          <w:bottom w:val="nil"/>
          <w:right w:val="nil"/>
          <w:insideH w:val="nil"/>
          <w:insideV w:val="nil"/>
        </w:tcBorders>
        <w:shd w:val="clear" w:color="auto" w:fill="4A111F"/>
      </w:tcPr>
    </w:tblStylePr>
    <w:tblStylePr w:type="firstCol">
      <w:tblPr/>
      <w:tcPr>
        <w:tcBorders>
          <w:top w:val="nil"/>
          <w:left w:val="nil"/>
          <w:bottom w:val="nil"/>
          <w:right w:val="single" w:sz="18" w:space="0" w:color="FFFFFF"/>
          <w:insideH w:val="nil"/>
          <w:insideV w:val="nil"/>
        </w:tcBorders>
        <w:shd w:val="clear" w:color="auto" w:fill="701A2E"/>
      </w:tcPr>
    </w:tblStylePr>
    <w:tblStylePr w:type="lastCol">
      <w:tblPr/>
      <w:tcPr>
        <w:tcBorders>
          <w:top w:val="nil"/>
          <w:left w:val="single" w:sz="18" w:space="0" w:color="FFFFFF"/>
          <w:bottom w:val="nil"/>
          <w:right w:val="nil"/>
          <w:insideH w:val="nil"/>
          <w:insideV w:val="nil"/>
        </w:tcBorders>
        <w:shd w:val="clear" w:color="auto" w:fill="701A2E"/>
      </w:tcPr>
    </w:tblStylePr>
    <w:tblStylePr w:type="band1Vert">
      <w:tblPr/>
      <w:tcPr>
        <w:tcBorders>
          <w:top w:val="nil"/>
          <w:left w:val="nil"/>
          <w:bottom w:val="nil"/>
          <w:right w:val="nil"/>
          <w:insideH w:val="nil"/>
          <w:insideV w:val="nil"/>
        </w:tcBorders>
        <w:shd w:val="clear" w:color="auto" w:fill="701A2E"/>
      </w:tcPr>
    </w:tblStylePr>
    <w:tblStylePr w:type="band1Horz">
      <w:tblPr/>
      <w:tcPr>
        <w:tcBorders>
          <w:top w:val="nil"/>
          <w:left w:val="nil"/>
          <w:bottom w:val="nil"/>
          <w:right w:val="nil"/>
          <w:insideH w:val="nil"/>
          <w:insideV w:val="nil"/>
        </w:tcBorders>
        <w:shd w:val="clear" w:color="auto" w:fill="701A2E"/>
      </w:tcPr>
    </w:tblStylePr>
  </w:style>
  <w:style w:type="table" w:styleId="LightList-Accent1">
    <w:name w:val="Light List Accent 1"/>
    <w:basedOn w:val="TableNormal"/>
    <w:uiPriority w:val="61"/>
    <w:rsid w:val="00E245A0"/>
    <w:rPr>
      <w:rFonts w:eastAsia="Arial"/>
      <w:lang w:eastAsia="en-US"/>
    </w:rPr>
    <w:tblPr>
      <w:tblStyleRowBandSize w:val="1"/>
      <w:tblStyleColBandSize w:val="1"/>
      <w:tblInd w:w="0" w:type="dxa"/>
      <w:tblBorders>
        <w:top w:val="single" w:sz="8" w:space="0" w:color="97233F"/>
        <w:left w:val="single" w:sz="8" w:space="0" w:color="97233F"/>
        <w:bottom w:val="single" w:sz="8" w:space="0" w:color="97233F"/>
        <w:right w:val="single" w:sz="8" w:space="0" w:color="97233F"/>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7233F"/>
      </w:tcPr>
    </w:tblStylePr>
    <w:tblStylePr w:type="lastRow">
      <w:pPr>
        <w:spacing w:before="0" w:after="0" w:line="240" w:lineRule="auto"/>
      </w:pPr>
      <w:rPr>
        <w:b/>
        <w:bCs/>
      </w:rPr>
      <w:tblPr/>
      <w:tcPr>
        <w:tcBorders>
          <w:top w:val="double" w:sz="6" w:space="0" w:color="97233F"/>
          <w:left w:val="single" w:sz="8" w:space="0" w:color="97233F"/>
          <w:bottom w:val="single" w:sz="8" w:space="0" w:color="97233F"/>
          <w:right w:val="single" w:sz="8" w:space="0" w:color="97233F"/>
        </w:tcBorders>
      </w:tcPr>
    </w:tblStylePr>
    <w:tblStylePr w:type="firstCol">
      <w:rPr>
        <w:b/>
        <w:bCs/>
      </w:rPr>
    </w:tblStylePr>
    <w:tblStylePr w:type="lastCol">
      <w:rPr>
        <w:b/>
        <w:bCs/>
      </w:rPr>
    </w:tblStylePr>
    <w:tblStylePr w:type="band1Vert">
      <w:tblPr/>
      <w:tcPr>
        <w:tcBorders>
          <w:top w:val="single" w:sz="8" w:space="0" w:color="97233F"/>
          <w:left w:val="single" w:sz="8" w:space="0" w:color="97233F"/>
          <w:bottom w:val="single" w:sz="8" w:space="0" w:color="97233F"/>
          <w:right w:val="single" w:sz="8" w:space="0" w:color="97233F"/>
        </w:tcBorders>
      </w:tcPr>
    </w:tblStylePr>
    <w:tblStylePr w:type="band1Horz">
      <w:tblPr/>
      <w:tcPr>
        <w:tcBorders>
          <w:top w:val="single" w:sz="8" w:space="0" w:color="97233F"/>
          <w:left w:val="single" w:sz="8" w:space="0" w:color="97233F"/>
          <w:bottom w:val="single" w:sz="8" w:space="0" w:color="97233F"/>
          <w:right w:val="single" w:sz="8" w:space="0" w:color="97233F"/>
        </w:tcBorders>
      </w:tcPr>
    </w:tblStylePr>
  </w:style>
  <w:style w:type="table" w:styleId="ColorfulShading">
    <w:name w:val="Colorful Shading"/>
    <w:basedOn w:val="TableNormal"/>
    <w:uiPriority w:val="71"/>
    <w:rsid w:val="00E245A0"/>
    <w:rPr>
      <w:rFonts w:eastAsia="Arial"/>
      <w:color w:val="264152"/>
      <w:lang w:eastAsia="en-US"/>
    </w:rPr>
    <w:tblPr>
      <w:tblStyleRowBandSize w:val="1"/>
      <w:tblStyleColBandSize w:val="1"/>
      <w:tblInd w:w="0" w:type="dxa"/>
      <w:tblBorders>
        <w:top w:val="single" w:sz="24" w:space="0" w:color="FD6631"/>
        <w:left w:val="single" w:sz="4" w:space="0" w:color="264152"/>
        <w:bottom w:val="single" w:sz="4" w:space="0" w:color="264152"/>
        <w:right w:val="single" w:sz="4" w:space="0" w:color="264152"/>
        <w:insideH w:val="single" w:sz="4" w:space="0" w:color="FFFFFF"/>
        <w:insideV w:val="single" w:sz="4" w:space="0" w:color="FFFFFF"/>
      </w:tblBorders>
      <w:tblCellMar>
        <w:top w:w="0" w:type="dxa"/>
        <w:left w:w="108" w:type="dxa"/>
        <w:bottom w:w="0" w:type="dxa"/>
        <w:right w:w="108" w:type="dxa"/>
      </w:tblCellMar>
    </w:tblPr>
    <w:tcPr>
      <w:shd w:val="clear" w:color="auto" w:fill="E4EDF3"/>
    </w:tcPr>
    <w:tblStylePr w:type="firstRow">
      <w:rPr>
        <w:b/>
        <w:bCs/>
      </w:rPr>
      <w:tblPr/>
      <w:tcPr>
        <w:tcBorders>
          <w:top w:val="nil"/>
          <w:left w:val="nil"/>
          <w:bottom w:val="single" w:sz="24" w:space="0" w:color="FD66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162631"/>
      </w:tcPr>
    </w:tblStylePr>
    <w:tblStylePr w:type="firstCol">
      <w:rPr>
        <w:color w:val="FFFFFF"/>
      </w:rPr>
      <w:tblPr/>
      <w:tcPr>
        <w:tcBorders>
          <w:top w:val="nil"/>
          <w:left w:val="nil"/>
          <w:bottom w:val="nil"/>
          <w:right w:val="nil"/>
          <w:insideH w:val="single" w:sz="4" w:space="0" w:color="162631"/>
          <w:insideV w:val="nil"/>
        </w:tcBorders>
        <w:shd w:val="clear" w:color="auto" w:fill="162631"/>
      </w:tcPr>
    </w:tblStylePr>
    <w:tblStylePr w:type="lastCol">
      <w:rPr>
        <w:color w:val="FFFFFF"/>
      </w:rPr>
      <w:tblPr/>
      <w:tcPr>
        <w:tcBorders>
          <w:top w:val="nil"/>
          <w:left w:val="nil"/>
          <w:bottom w:val="nil"/>
          <w:right w:val="nil"/>
          <w:insideH w:val="nil"/>
          <w:insideV w:val="nil"/>
        </w:tcBorders>
        <w:shd w:val="clear" w:color="auto" w:fill="1C303D"/>
      </w:tcPr>
    </w:tblStylePr>
    <w:tblStylePr w:type="band1Vert">
      <w:tblPr/>
      <w:tcPr>
        <w:shd w:val="clear" w:color="auto" w:fill="94B7CD"/>
      </w:tcPr>
    </w:tblStylePr>
    <w:tblStylePr w:type="band1Horz">
      <w:tblPr/>
      <w:tcPr>
        <w:shd w:val="clear" w:color="auto" w:fill="7AA5C1"/>
      </w:tcPr>
    </w:tblStylePr>
    <w:tblStylePr w:type="neCell">
      <w:rPr>
        <w:color w:val="264152"/>
      </w:rPr>
    </w:tblStylePr>
    <w:tblStylePr w:type="nwCell">
      <w:rPr>
        <w:color w:val="264152"/>
      </w:rPr>
    </w:tblStylePr>
  </w:style>
  <w:style w:type="table" w:styleId="MediumGrid2-Accent3">
    <w:name w:val="Medium Grid 2 Accent 3"/>
    <w:basedOn w:val="TableNormal"/>
    <w:uiPriority w:val="68"/>
    <w:rsid w:val="00E245A0"/>
    <w:rPr>
      <w:color w:val="264152"/>
      <w:lang w:eastAsia="en-US"/>
    </w:rPr>
    <w:tblPr>
      <w:tblStyleRowBandSize w:val="1"/>
      <w:tblStyleColBandSize w:val="1"/>
      <w:tblInd w:w="0" w:type="dxa"/>
      <w:tblBorders>
        <w:top w:val="single" w:sz="8" w:space="0" w:color="5BBBB7"/>
        <w:left w:val="single" w:sz="8" w:space="0" w:color="5BBBB7"/>
        <w:bottom w:val="single" w:sz="8" w:space="0" w:color="5BBBB7"/>
        <w:right w:val="single" w:sz="8" w:space="0" w:color="5BBBB7"/>
        <w:insideH w:val="single" w:sz="8" w:space="0" w:color="5BBBB7"/>
        <w:insideV w:val="single" w:sz="8" w:space="0" w:color="5BBBB7"/>
      </w:tblBorders>
      <w:tblCellMar>
        <w:top w:w="0" w:type="dxa"/>
        <w:left w:w="108" w:type="dxa"/>
        <w:bottom w:w="0" w:type="dxa"/>
        <w:right w:w="108" w:type="dxa"/>
      </w:tblCellMar>
    </w:tblPr>
    <w:tcPr>
      <w:shd w:val="clear" w:color="auto" w:fill="D6EEED"/>
    </w:tcPr>
    <w:tblStylePr w:type="firstRow">
      <w:rPr>
        <w:b/>
        <w:bCs/>
        <w:color w:val="264152"/>
      </w:rPr>
      <w:tblPr/>
      <w:tcPr>
        <w:shd w:val="clear" w:color="auto" w:fill="EEF8F7"/>
      </w:tcPr>
    </w:tblStylePr>
    <w:tblStylePr w:type="lastRow">
      <w:rPr>
        <w:b/>
        <w:bCs/>
        <w:color w:val="264152"/>
      </w:rPr>
      <w:tblPr/>
      <w:tcPr>
        <w:tcBorders>
          <w:top w:val="single" w:sz="12" w:space="0" w:color="264152"/>
          <w:left w:val="nil"/>
          <w:bottom w:val="nil"/>
          <w:right w:val="nil"/>
          <w:insideH w:val="nil"/>
          <w:insideV w:val="nil"/>
        </w:tcBorders>
        <w:shd w:val="clear" w:color="auto" w:fill="FFFFFF"/>
      </w:tcPr>
    </w:tblStylePr>
    <w:tblStylePr w:type="firstCol">
      <w:rPr>
        <w:b/>
        <w:bCs/>
        <w:color w:val="264152"/>
      </w:rPr>
      <w:tblPr/>
      <w:tcPr>
        <w:tcBorders>
          <w:top w:val="nil"/>
          <w:left w:val="nil"/>
          <w:bottom w:val="nil"/>
          <w:right w:val="nil"/>
          <w:insideH w:val="nil"/>
          <w:insideV w:val="nil"/>
        </w:tcBorders>
        <w:shd w:val="clear" w:color="auto" w:fill="FFFFFF"/>
      </w:tcPr>
    </w:tblStylePr>
    <w:tblStylePr w:type="lastCol">
      <w:rPr>
        <w:b w:val="0"/>
        <w:bCs w:val="0"/>
        <w:color w:val="264152"/>
      </w:rPr>
      <w:tblPr/>
      <w:tcPr>
        <w:tcBorders>
          <w:top w:val="nil"/>
          <w:left w:val="nil"/>
          <w:bottom w:val="nil"/>
          <w:right w:val="nil"/>
          <w:insideH w:val="nil"/>
          <w:insideV w:val="nil"/>
        </w:tcBorders>
        <w:shd w:val="clear" w:color="auto" w:fill="DEF1F0"/>
      </w:tcPr>
    </w:tblStylePr>
    <w:tblStylePr w:type="band1Vert">
      <w:tblPr/>
      <w:tcPr>
        <w:shd w:val="clear" w:color="auto" w:fill="ADDDDB"/>
      </w:tcPr>
    </w:tblStylePr>
    <w:tblStylePr w:type="band1Horz">
      <w:tblPr/>
      <w:tcPr>
        <w:tcBorders>
          <w:insideH w:val="single" w:sz="6" w:space="0" w:color="5BBBB7"/>
          <w:insideV w:val="single" w:sz="6" w:space="0" w:color="5BBBB7"/>
        </w:tcBorders>
        <w:shd w:val="clear" w:color="auto" w:fill="ADDDDB"/>
      </w:tcPr>
    </w:tblStylePr>
    <w:tblStylePr w:type="nwCell">
      <w:tblPr/>
      <w:tcPr>
        <w:shd w:val="clear" w:color="auto" w:fill="FFFFFF"/>
      </w:tcPr>
    </w:tblStylePr>
  </w:style>
  <w:style w:type="table" w:styleId="MediumGrid2-Accent6">
    <w:name w:val="Medium Grid 2 Accent 6"/>
    <w:basedOn w:val="TableNormal"/>
    <w:uiPriority w:val="68"/>
    <w:rsid w:val="00E245A0"/>
    <w:rPr>
      <w:color w:val="264152"/>
      <w:lang w:eastAsia="en-US"/>
    </w:rPr>
    <w:tblPr>
      <w:tblStyleRowBandSize w:val="1"/>
      <w:tblStyleColBandSize w:val="1"/>
      <w:tblInd w:w="0" w:type="dxa"/>
      <w:tblBorders>
        <w:top w:val="single" w:sz="8" w:space="0" w:color="452325"/>
        <w:left w:val="single" w:sz="8" w:space="0" w:color="452325"/>
        <w:bottom w:val="single" w:sz="8" w:space="0" w:color="452325"/>
        <w:right w:val="single" w:sz="8" w:space="0" w:color="452325"/>
        <w:insideH w:val="single" w:sz="8" w:space="0" w:color="452325"/>
        <w:insideV w:val="single" w:sz="8" w:space="0" w:color="452325"/>
      </w:tblBorders>
      <w:tblCellMar>
        <w:top w:w="0" w:type="dxa"/>
        <w:left w:w="108" w:type="dxa"/>
        <w:bottom w:w="0" w:type="dxa"/>
        <w:right w:w="108" w:type="dxa"/>
      </w:tblCellMar>
    </w:tblPr>
    <w:tcPr>
      <w:shd w:val="clear" w:color="auto" w:fill="DDBCBE"/>
    </w:tcPr>
    <w:tblStylePr w:type="firstRow">
      <w:rPr>
        <w:b/>
        <w:bCs/>
        <w:color w:val="264152"/>
      </w:rPr>
      <w:tblPr/>
      <w:tcPr>
        <w:shd w:val="clear" w:color="auto" w:fill="F1E4E5"/>
      </w:tcPr>
    </w:tblStylePr>
    <w:tblStylePr w:type="lastRow">
      <w:rPr>
        <w:b/>
        <w:bCs/>
        <w:color w:val="264152"/>
      </w:rPr>
      <w:tblPr/>
      <w:tcPr>
        <w:tcBorders>
          <w:top w:val="single" w:sz="12" w:space="0" w:color="264152"/>
          <w:left w:val="nil"/>
          <w:bottom w:val="nil"/>
          <w:right w:val="nil"/>
          <w:insideH w:val="nil"/>
          <w:insideV w:val="nil"/>
        </w:tcBorders>
        <w:shd w:val="clear" w:color="auto" w:fill="FFFFFF"/>
      </w:tcPr>
    </w:tblStylePr>
    <w:tblStylePr w:type="firstCol">
      <w:rPr>
        <w:b/>
        <w:bCs/>
        <w:color w:val="264152"/>
      </w:rPr>
      <w:tblPr/>
      <w:tcPr>
        <w:tcBorders>
          <w:top w:val="nil"/>
          <w:left w:val="nil"/>
          <w:bottom w:val="nil"/>
          <w:right w:val="nil"/>
          <w:insideH w:val="nil"/>
          <w:insideV w:val="nil"/>
        </w:tcBorders>
        <w:shd w:val="clear" w:color="auto" w:fill="FFFFFF"/>
      </w:tcPr>
    </w:tblStylePr>
    <w:tblStylePr w:type="lastCol">
      <w:rPr>
        <w:b w:val="0"/>
        <w:bCs w:val="0"/>
        <w:color w:val="264152"/>
      </w:rPr>
      <w:tblPr/>
      <w:tcPr>
        <w:tcBorders>
          <w:top w:val="nil"/>
          <w:left w:val="nil"/>
          <w:bottom w:val="nil"/>
          <w:right w:val="nil"/>
          <w:insideH w:val="nil"/>
          <w:insideV w:val="nil"/>
        </w:tcBorders>
        <w:shd w:val="clear" w:color="auto" w:fill="E3C9CA"/>
      </w:tcPr>
    </w:tblStylePr>
    <w:tblStylePr w:type="band1Vert">
      <w:tblPr/>
      <w:tcPr>
        <w:shd w:val="clear" w:color="auto" w:fill="BB787C"/>
      </w:tcPr>
    </w:tblStylePr>
    <w:tblStylePr w:type="band1Horz">
      <w:tblPr/>
      <w:tcPr>
        <w:tcBorders>
          <w:insideH w:val="single" w:sz="6" w:space="0" w:color="452325"/>
          <w:insideV w:val="single" w:sz="6" w:space="0" w:color="452325"/>
        </w:tcBorders>
        <w:shd w:val="clear" w:color="auto" w:fill="BB787C"/>
      </w:tcPr>
    </w:tblStylePr>
    <w:tblStylePr w:type="nwCell">
      <w:tblPr/>
      <w:tcPr>
        <w:shd w:val="clear" w:color="auto" w:fill="FFFFFF"/>
      </w:tcPr>
    </w:tblStylePr>
  </w:style>
  <w:style w:type="table" w:styleId="LightShading">
    <w:name w:val="Light Shading"/>
    <w:basedOn w:val="TableNormal"/>
    <w:uiPriority w:val="60"/>
    <w:rsid w:val="00E245A0"/>
    <w:rPr>
      <w:rFonts w:eastAsia="Arial"/>
      <w:color w:val="1C303D"/>
      <w:lang w:eastAsia="en-US"/>
    </w:rPr>
    <w:tblPr>
      <w:tblStyleRowBandSize w:val="1"/>
      <w:tblStyleColBandSize w:val="1"/>
      <w:tblInd w:w="0" w:type="dxa"/>
      <w:tblBorders>
        <w:top w:val="single" w:sz="8" w:space="0" w:color="264152"/>
        <w:bottom w:val="single" w:sz="8" w:space="0" w:color="26415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264152"/>
          <w:left w:val="nil"/>
          <w:bottom w:val="single" w:sz="8" w:space="0" w:color="264152"/>
          <w:right w:val="nil"/>
          <w:insideH w:val="nil"/>
          <w:insideV w:val="nil"/>
        </w:tcBorders>
      </w:tcPr>
    </w:tblStylePr>
    <w:tblStylePr w:type="lastRow">
      <w:pPr>
        <w:spacing w:before="0" w:after="0" w:line="240" w:lineRule="auto"/>
      </w:pPr>
      <w:rPr>
        <w:b/>
        <w:bCs/>
      </w:rPr>
      <w:tblPr/>
      <w:tcPr>
        <w:tcBorders>
          <w:top w:val="single" w:sz="8" w:space="0" w:color="264152"/>
          <w:left w:val="nil"/>
          <w:bottom w:val="single" w:sz="8" w:space="0" w:color="26415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cPr>
    </w:tblStylePr>
    <w:tblStylePr w:type="band1Horz">
      <w:tblPr/>
      <w:tcPr>
        <w:tcBorders>
          <w:left w:val="nil"/>
          <w:right w:val="nil"/>
          <w:insideH w:val="nil"/>
          <w:insideV w:val="nil"/>
        </w:tcBorders>
        <w:shd w:val="clear" w:color="auto" w:fill="BCD2E0"/>
      </w:tcPr>
    </w:tblStylePr>
  </w:style>
  <w:style w:type="table" w:styleId="ColorfulGrid-Accent6">
    <w:name w:val="Colorful Grid Accent 6"/>
    <w:basedOn w:val="TableNormal"/>
    <w:uiPriority w:val="73"/>
    <w:rsid w:val="00E245A0"/>
    <w:rPr>
      <w:rFonts w:eastAsia="Arial"/>
      <w:color w:val="264152"/>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3C9CA"/>
    </w:tcPr>
    <w:tblStylePr w:type="firstRow">
      <w:rPr>
        <w:b/>
        <w:bCs/>
      </w:rPr>
      <w:tblPr/>
      <w:tcPr>
        <w:shd w:val="clear" w:color="auto" w:fill="C89396"/>
      </w:tcPr>
    </w:tblStylePr>
    <w:tblStylePr w:type="lastRow">
      <w:rPr>
        <w:b/>
        <w:bCs/>
        <w:color w:val="264152"/>
      </w:rPr>
      <w:tblPr/>
      <w:tcPr>
        <w:shd w:val="clear" w:color="auto" w:fill="C89396"/>
      </w:tcPr>
    </w:tblStylePr>
    <w:tblStylePr w:type="firstCol">
      <w:rPr>
        <w:color w:val="FFFFFF"/>
      </w:rPr>
      <w:tblPr/>
      <w:tcPr>
        <w:shd w:val="clear" w:color="auto" w:fill="331A1B"/>
      </w:tcPr>
    </w:tblStylePr>
    <w:tblStylePr w:type="lastCol">
      <w:rPr>
        <w:color w:val="FFFFFF"/>
      </w:rPr>
      <w:tblPr/>
      <w:tcPr>
        <w:shd w:val="clear" w:color="auto" w:fill="331A1B"/>
      </w:tcPr>
    </w:tblStylePr>
    <w:tblStylePr w:type="band1Vert">
      <w:tblPr/>
      <w:tcPr>
        <w:shd w:val="clear" w:color="auto" w:fill="BB787C"/>
      </w:tcPr>
    </w:tblStylePr>
    <w:tblStylePr w:type="band1Horz">
      <w:tblPr/>
      <w:tcPr>
        <w:shd w:val="clear" w:color="auto" w:fill="BB787C"/>
      </w:tcPr>
    </w:tblStylePr>
  </w:style>
  <w:style w:type="table" w:styleId="MediumShading1-Accent2">
    <w:name w:val="Medium Shading 1 Accent 2"/>
    <w:basedOn w:val="TableNormal"/>
    <w:uiPriority w:val="63"/>
    <w:rsid w:val="00E245A0"/>
    <w:rPr>
      <w:rFonts w:eastAsia="Arial"/>
      <w:lang w:eastAsia="en-US"/>
    </w:rPr>
    <w:tblPr>
      <w:tblStyleRowBandSize w:val="1"/>
      <w:tblStyleColBandSize w:val="1"/>
      <w:tblInd w:w="0" w:type="dxa"/>
      <w:tblBorders>
        <w:top w:val="single" w:sz="8" w:space="0" w:color="FD8C64"/>
        <w:left w:val="single" w:sz="8" w:space="0" w:color="FD8C64"/>
        <w:bottom w:val="single" w:sz="8" w:space="0" w:color="FD8C64"/>
        <w:right w:val="single" w:sz="8" w:space="0" w:color="FD8C64"/>
        <w:insideH w:val="single" w:sz="8" w:space="0" w:color="FD8C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D8C64"/>
          <w:left w:val="single" w:sz="8" w:space="0" w:color="FD8C64"/>
          <w:bottom w:val="single" w:sz="8" w:space="0" w:color="FD8C64"/>
          <w:right w:val="single" w:sz="8" w:space="0" w:color="FD8C64"/>
          <w:insideH w:val="nil"/>
          <w:insideV w:val="nil"/>
        </w:tcBorders>
        <w:shd w:val="clear" w:color="auto" w:fill="FD6631"/>
      </w:tcPr>
    </w:tblStylePr>
    <w:tblStylePr w:type="lastRow">
      <w:pPr>
        <w:spacing w:before="0" w:after="0" w:line="240" w:lineRule="auto"/>
      </w:pPr>
      <w:rPr>
        <w:b/>
        <w:bCs/>
      </w:rPr>
      <w:tblPr/>
      <w:tcPr>
        <w:tcBorders>
          <w:top w:val="double" w:sz="6" w:space="0" w:color="FD8C64"/>
          <w:left w:val="single" w:sz="8" w:space="0" w:color="FD8C64"/>
          <w:bottom w:val="single" w:sz="8" w:space="0" w:color="FD8C64"/>
          <w:right w:val="single" w:sz="8" w:space="0" w:color="FD8C64"/>
          <w:insideH w:val="nil"/>
          <w:insideV w:val="nil"/>
        </w:tcBorders>
      </w:tcPr>
    </w:tblStylePr>
    <w:tblStylePr w:type="firstCol">
      <w:rPr>
        <w:b/>
        <w:bCs/>
      </w:rPr>
    </w:tblStylePr>
    <w:tblStylePr w:type="lastCol">
      <w:rPr>
        <w:b/>
        <w:bCs/>
      </w:rPr>
    </w:tblStylePr>
    <w:tblStylePr w:type="band1Vert">
      <w:tblPr/>
      <w:tcPr>
        <w:shd w:val="clear" w:color="auto" w:fill="FED8CB"/>
      </w:tcPr>
    </w:tblStylePr>
    <w:tblStylePr w:type="band1Horz">
      <w:tblPr/>
      <w:tcPr>
        <w:tcBorders>
          <w:insideH w:val="nil"/>
          <w:insideV w:val="nil"/>
        </w:tcBorders>
        <w:shd w:val="clear" w:color="auto" w:fill="FED8CB"/>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E245A0"/>
    <w:rPr>
      <w:rFonts w:eastAsia="Arial"/>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5232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52325"/>
      </w:tcPr>
    </w:tblStylePr>
    <w:tblStylePr w:type="lastCol">
      <w:rPr>
        <w:b/>
        <w:bCs/>
        <w:color w:val="FFFFFF"/>
      </w:rPr>
      <w:tblPr/>
      <w:tcPr>
        <w:tcBorders>
          <w:left w:val="nil"/>
          <w:right w:val="nil"/>
          <w:insideH w:val="nil"/>
          <w:insideV w:val="nil"/>
        </w:tcBorders>
        <w:shd w:val="clear" w:color="auto" w:fill="45232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E245A0"/>
    <w:rPr>
      <w:rFonts w:eastAsia="Arial"/>
      <w:lang w:eastAsia="en-US"/>
    </w:rPr>
    <w:tblPr>
      <w:tblStyleRowBandSize w:val="1"/>
      <w:tblStyleColBandSize w:val="1"/>
      <w:tblInd w:w="0" w:type="dxa"/>
      <w:tblBorders>
        <w:top w:val="single" w:sz="8" w:space="0" w:color="452325"/>
        <w:left w:val="single" w:sz="8" w:space="0" w:color="452325"/>
        <w:bottom w:val="single" w:sz="8" w:space="0" w:color="452325"/>
        <w:right w:val="single" w:sz="8" w:space="0" w:color="452325"/>
        <w:insideH w:val="single" w:sz="8" w:space="0" w:color="452325"/>
        <w:insideV w:val="single" w:sz="8" w:space="0" w:color="452325"/>
      </w:tblBorders>
      <w:tblCellMar>
        <w:top w:w="0" w:type="dxa"/>
        <w:left w:w="108" w:type="dxa"/>
        <w:bottom w:w="0" w:type="dxa"/>
        <w:right w:w="108" w:type="dxa"/>
      </w:tblCellMar>
    </w:tblPr>
    <w:tblStylePr w:type="firstRow">
      <w:pPr>
        <w:spacing w:before="0" w:after="0" w:line="240" w:lineRule="auto"/>
      </w:pPr>
      <w:rPr>
        <w:rFonts w:ascii="Arial" w:eastAsia="Times New Roman" w:hAnsi="Arial" w:cs="Times New Roman"/>
        <w:b/>
        <w:bCs/>
      </w:rPr>
      <w:tblPr/>
      <w:tcPr>
        <w:tcBorders>
          <w:top w:val="single" w:sz="8" w:space="0" w:color="452325"/>
          <w:left w:val="single" w:sz="8" w:space="0" w:color="452325"/>
          <w:bottom w:val="single" w:sz="18" w:space="0" w:color="452325"/>
          <w:right w:val="single" w:sz="8" w:space="0" w:color="452325"/>
          <w:insideH w:val="nil"/>
          <w:insideV w:val="single" w:sz="8" w:space="0" w:color="452325"/>
        </w:tcBorders>
      </w:tcPr>
    </w:tblStylePr>
    <w:tblStylePr w:type="lastRow">
      <w:pPr>
        <w:spacing w:before="0" w:after="0" w:line="240" w:lineRule="auto"/>
      </w:pPr>
      <w:rPr>
        <w:rFonts w:ascii="Arial" w:eastAsia="Times New Roman" w:hAnsi="Arial" w:cs="Times New Roman"/>
        <w:b/>
        <w:bCs/>
      </w:rPr>
      <w:tblPr/>
      <w:tcPr>
        <w:tcBorders>
          <w:top w:val="double" w:sz="6" w:space="0" w:color="452325"/>
          <w:left w:val="single" w:sz="8" w:space="0" w:color="452325"/>
          <w:bottom w:val="single" w:sz="8" w:space="0" w:color="452325"/>
          <w:right w:val="single" w:sz="8" w:space="0" w:color="452325"/>
          <w:insideH w:val="nil"/>
          <w:insideV w:val="single" w:sz="8" w:space="0" w:color="452325"/>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452325"/>
          <w:left w:val="single" w:sz="8" w:space="0" w:color="452325"/>
          <w:bottom w:val="single" w:sz="8" w:space="0" w:color="452325"/>
          <w:right w:val="single" w:sz="8" w:space="0" w:color="452325"/>
        </w:tcBorders>
      </w:tcPr>
    </w:tblStylePr>
    <w:tblStylePr w:type="band1Vert">
      <w:tblPr/>
      <w:tcPr>
        <w:tcBorders>
          <w:top w:val="single" w:sz="8" w:space="0" w:color="452325"/>
          <w:left w:val="single" w:sz="8" w:space="0" w:color="452325"/>
          <w:bottom w:val="single" w:sz="8" w:space="0" w:color="452325"/>
          <w:right w:val="single" w:sz="8" w:space="0" w:color="452325"/>
        </w:tcBorders>
        <w:shd w:val="clear" w:color="auto" w:fill="DDBCBE"/>
      </w:tcPr>
    </w:tblStylePr>
    <w:tblStylePr w:type="band1Horz">
      <w:tblPr/>
      <w:tcPr>
        <w:tcBorders>
          <w:top w:val="single" w:sz="8" w:space="0" w:color="452325"/>
          <w:left w:val="single" w:sz="8" w:space="0" w:color="452325"/>
          <w:bottom w:val="single" w:sz="8" w:space="0" w:color="452325"/>
          <w:right w:val="single" w:sz="8" w:space="0" w:color="452325"/>
          <w:insideV w:val="single" w:sz="8" w:space="0" w:color="452325"/>
        </w:tcBorders>
        <w:shd w:val="clear" w:color="auto" w:fill="DDBCBE"/>
      </w:tcPr>
    </w:tblStylePr>
    <w:tblStylePr w:type="band2Horz">
      <w:tblPr/>
      <w:tcPr>
        <w:tcBorders>
          <w:top w:val="single" w:sz="8" w:space="0" w:color="452325"/>
          <w:left w:val="single" w:sz="8" w:space="0" w:color="452325"/>
          <w:bottom w:val="single" w:sz="8" w:space="0" w:color="452325"/>
          <w:right w:val="single" w:sz="8" w:space="0" w:color="452325"/>
          <w:insideV w:val="single" w:sz="8" w:space="0" w:color="452325"/>
        </w:tcBorders>
      </w:tcPr>
    </w:tblStylePr>
  </w:style>
  <w:style w:type="character" w:customStyle="1" w:styleId="BalloonTextChar">
    <w:name w:val="Balloon Text Char"/>
    <w:link w:val="BalloonText"/>
    <w:uiPriority w:val="99"/>
    <w:semiHidden/>
    <w:rsid w:val="00E245A0"/>
    <w:rPr>
      <w:rFonts w:ascii="Tahoma" w:eastAsia="Arial" w:hAnsi="Tahoma" w:cs="Tahoma"/>
      <w:sz w:val="16"/>
      <w:szCs w:val="16"/>
      <w:lang w:eastAsia="en-US"/>
    </w:rPr>
  </w:style>
  <w:style w:type="numbering" w:customStyle="1" w:styleId="Level">
    <w:name w:val="Level"/>
    <w:uiPriority w:val="99"/>
    <w:rsid w:val="00E245A0"/>
    <w:pPr>
      <w:numPr>
        <w:numId w:val="7"/>
      </w:numPr>
    </w:pPr>
  </w:style>
  <w:style w:type="numbering" w:customStyle="1" w:styleId="Scheduletext">
    <w:name w:val="Schedule text"/>
    <w:uiPriority w:val="99"/>
    <w:rsid w:val="00E245A0"/>
    <w:pPr>
      <w:numPr>
        <w:numId w:val="8"/>
      </w:numPr>
    </w:pPr>
  </w:style>
  <w:style w:type="numbering" w:customStyle="1" w:styleId="Appendix">
    <w:name w:val="Appendix"/>
    <w:uiPriority w:val="99"/>
    <w:rsid w:val="00E245A0"/>
    <w:pPr>
      <w:numPr>
        <w:numId w:val="9"/>
      </w:numPr>
    </w:pPr>
  </w:style>
  <w:style w:type="numbering" w:customStyle="1" w:styleId="Appendixheading">
    <w:name w:val="Appendix heading"/>
    <w:uiPriority w:val="99"/>
    <w:rsid w:val="00E245A0"/>
    <w:pPr>
      <w:numPr>
        <w:numId w:val="10"/>
      </w:numPr>
    </w:pPr>
  </w:style>
  <w:style w:type="numbering" w:customStyle="1" w:styleId="Scheduleheading">
    <w:name w:val="Schedule heading"/>
    <w:uiPriority w:val="99"/>
    <w:rsid w:val="00E245A0"/>
    <w:pPr>
      <w:numPr>
        <w:numId w:val="11"/>
      </w:numPr>
    </w:pPr>
  </w:style>
  <w:style w:type="numbering" w:customStyle="1" w:styleId="Bullets">
    <w:name w:val="Bullets"/>
    <w:uiPriority w:val="99"/>
    <w:rsid w:val="00E245A0"/>
    <w:pPr>
      <w:numPr>
        <w:numId w:val="12"/>
      </w:numPr>
    </w:pPr>
  </w:style>
  <w:style w:type="paragraph" w:customStyle="1" w:styleId="TLTDefinitionListLevel1">
    <w:name w:val="TLT Definition List Level 1"/>
    <w:basedOn w:val="TLTDefinitionList"/>
    <w:rsid w:val="00E245A0"/>
    <w:pPr>
      <w:numPr>
        <w:ilvl w:val="1"/>
      </w:numPr>
    </w:pPr>
  </w:style>
  <w:style w:type="numbering" w:customStyle="1" w:styleId="Definitions">
    <w:name w:val="Definitions"/>
    <w:uiPriority w:val="99"/>
    <w:rsid w:val="00E245A0"/>
    <w:pPr>
      <w:numPr>
        <w:numId w:val="13"/>
      </w:numPr>
    </w:pPr>
  </w:style>
  <w:style w:type="character" w:customStyle="1" w:styleId="HeaderChar">
    <w:name w:val="Header Char"/>
    <w:link w:val="Header"/>
    <w:uiPriority w:val="99"/>
    <w:rsid w:val="00E245A0"/>
    <w:rPr>
      <w:rFonts w:ascii="Arial" w:eastAsia="Arial" w:hAnsi="Arial"/>
      <w:lang w:eastAsia="en-US"/>
    </w:rPr>
  </w:style>
  <w:style w:type="character" w:customStyle="1" w:styleId="FooterChar">
    <w:name w:val="Footer Char"/>
    <w:link w:val="Footer"/>
    <w:uiPriority w:val="99"/>
    <w:rsid w:val="00E245A0"/>
    <w:rPr>
      <w:rFonts w:ascii="Arial" w:eastAsia="Arial" w:hAnsi="Arial"/>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1257</Words>
  <Characters>7168</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 Barker</dc:creator>
  <cp:lastModifiedBy>Singh Kuldip DWP ESTATES</cp:lastModifiedBy>
  <cp:revision>2</cp:revision>
  <cp:lastPrinted>2017-10-16T07:20:00Z</cp:lastPrinted>
  <dcterms:created xsi:type="dcterms:W3CDTF">2018-08-23T09:25:00Z</dcterms:created>
  <dcterms:modified xsi:type="dcterms:W3CDTF">2018-08-23T09:25:00Z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42060828.1</vt:lpwstr>
  </property>
</Properties>
</file>